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8CD41" w14:textId="77777777" w:rsidR="00E82512" w:rsidRDefault="00E82512" w:rsidP="00AE2FE5">
      <w:pPr>
        <w:pStyle w:val="GBHeading4"/>
        <w:jc w:val="right"/>
        <w:rPr>
          <w:lang w:val="es-ES_tradnl"/>
        </w:rPr>
      </w:pPr>
      <w:bookmarkStart w:id="0" w:name="lt_pId002"/>
      <w:r w:rsidRPr="001B2FEF">
        <w:rPr>
          <w:lang w:val="es-ES_tradnl"/>
        </w:rPr>
        <w:t>Appl. 19</w:t>
      </w:r>
      <w:bookmarkStart w:id="1" w:name="lt_pId003"/>
      <w:bookmarkEnd w:id="0"/>
      <w:r w:rsidRPr="001B2FEF">
        <w:rPr>
          <w:lang w:val="es-ES_tradnl"/>
        </w:rPr>
        <w:br/>
        <w:t>C.188, C.152, C.169, C.183</w:t>
      </w:r>
      <w:bookmarkEnd w:id="1"/>
    </w:p>
    <w:p w14:paraId="1E36B69B" w14:textId="77777777" w:rsidR="00AE2FE5" w:rsidRDefault="00AE2FE5" w:rsidP="00AE2FE5">
      <w:pPr>
        <w:pStyle w:val="GBPara"/>
        <w:rPr>
          <w:lang w:val="es-ES_tradnl"/>
        </w:rPr>
      </w:pPr>
    </w:p>
    <w:p w14:paraId="54F6E631" w14:textId="77777777" w:rsidR="00E82512" w:rsidRPr="001B2FEF" w:rsidRDefault="00E82512" w:rsidP="00972D21">
      <w:pPr>
        <w:pStyle w:val="GBHeading3"/>
        <w:rPr>
          <w:lang w:val="es-ES_tradnl"/>
        </w:rPr>
      </w:pPr>
      <w:bookmarkStart w:id="2" w:name="lt_pId004"/>
      <w:r w:rsidRPr="001B2FEF">
        <w:rPr>
          <w:lang w:val="es-ES_tradnl"/>
        </w:rPr>
        <w:t>Oficina Internacional del Trabajo</w:t>
      </w:r>
      <w:bookmarkEnd w:id="2"/>
    </w:p>
    <w:p w14:paraId="1EE9CCC1" w14:textId="77777777" w:rsidR="00E82512" w:rsidRDefault="00E82512" w:rsidP="00972D21">
      <w:pPr>
        <w:pStyle w:val="GBHeading3"/>
        <w:keepNext w:val="0"/>
        <w:rPr>
          <w:b w:val="0"/>
          <w:bCs w:val="0"/>
          <w:iCs/>
          <w:lang w:val="es-ES_tradnl"/>
        </w:rPr>
      </w:pPr>
      <w:bookmarkStart w:id="3" w:name="lt_pId005"/>
      <w:r w:rsidRPr="001B2FEF">
        <w:rPr>
          <w:lang w:val="es-ES_tradnl"/>
        </w:rPr>
        <w:t>Memorias sobre convenios no ratificados y recomendaciones</w:t>
      </w:r>
      <w:bookmarkStart w:id="4" w:name="lt_pId006"/>
      <w:bookmarkEnd w:id="3"/>
      <w:r w:rsidRPr="001B2FEF">
        <w:rPr>
          <w:lang w:val="es-ES_tradnl"/>
        </w:rPr>
        <w:br/>
      </w:r>
      <w:r w:rsidRPr="001B2FEF">
        <w:rPr>
          <w:b w:val="0"/>
          <w:bCs w:val="0"/>
          <w:iCs/>
          <w:lang w:val="es-ES_tradnl"/>
        </w:rPr>
        <w:t>(artículo 19 de la Constitución de la Organización Internacional del Trabajo)</w:t>
      </w:r>
      <w:bookmarkEnd w:id="4"/>
    </w:p>
    <w:p w14:paraId="2D224A83" w14:textId="77777777" w:rsidR="00AE2FE5" w:rsidRDefault="00AE2FE5" w:rsidP="00AE2FE5">
      <w:pPr>
        <w:pStyle w:val="GBPara"/>
        <w:rPr>
          <w:lang w:val="es-ES_tradnl"/>
        </w:rPr>
      </w:pPr>
    </w:p>
    <w:p w14:paraId="3E6F7100" w14:textId="77777777" w:rsidR="00AE2FE5" w:rsidRPr="00AE2FE5" w:rsidRDefault="00AE2FE5" w:rsidP="00AE2FE5">
      <w:pPr>
        <w:pStyle w:val="GBPara"/>
        <w:rPr>
          <w:lang w:val="es-ES_tradnl"/>
        </w:rPr>
      </w:pPr>
    </w:p>
    <w:p w14:paraId="0A60D19F" w14:textId="77777777" w:rsidR="00E82512" w:rsidRPr="001B2FEF" w:rsidRDefault="00E82512" w:rsidP="00972D21">
      <w:pPr>
        <w:pStyle w:val="GBHeading4"/>
        <w:keepNext w:val="0"/>
        <w:spacing w:before="600"/>
        <w:jc w:val="center"/>
        <w:rPr>
          <w:b w:val="0"/>
          <w:bCs w:val="0"/>
          <w:lang w:val="es-ES_tradnl"/>
        </w:rPr>
      </w:pPr>
      <w:bookmarkStart w:id="5" w:name="lt_pId008"/>
      <w:r w:rsidRPr="001B2FEF">
        <w:rPr>
          <w:b w:val="0"/>
          <w:bCs w:val="0"/>
          <w:lang w:val="es-ES_tradnl"/>
        </w:rPr>
        <w:t>*  *  *</w:t>
      </w:r>
    </w:p>
    <w:p w14:paraId="3F567B82" w14:textId="77777777" w:rsidR="00E82512" w:rsidRPr="001B2FEF" w:rsidRDefault="00E82512" w:rsidP="00972D21">
      <w:pPr>
        <w:pStyle w:val="GBHeading4"/>
        <w:keepNext w:val="0"/>
        <w:jc w:val="center"/>
        <w:rPr>
          <w:lang w:val="es-ES_tradnl"/>
        </w:rPr>
      </w:pPr>
      <w:r w:rsidRPr="001B2FEF">
        <w:rPr>
          <w:lang w:val="es-ES_tradnl"/>
        </w:rPr>
        <w:t>Formulario de memoria para los instrumentos siguientes:</w:t>
      </w:r>
      <w:bookmarkEnd w:id="5"/>
    </w:p>
    <w:p w14:paraId="73CCED49" w14:textId="77777777" w:rsidR="00E82512" w:rsidRPr="001B2FEF" w:rsidRDefault="00E82512" w:rsidP="00972D21">
      <w:pPr>
        <w:pStyle w:val="GBHeading5"/>
        <w:keepNext w:val="0"/>
        <w:jc w:val="center"/>
        <w:rPr>
          <w:lang w:val="es-ES_tradnl"/>
        </w:rPr>
      </w:pPr>
      <w:bookmarkStart w:id="6" w:name="lt_pId009"/>
      <w:r w:rsidRPr="001B2FEF">
        <w:rPr>
          <w:lang w:val="es-ES_tradnl"/>
        </w:rPr>
        <w:t>Convenio sobre el trabajo en la pesca, 2007 (núm. 188)</w:t>
      </w:r>
      <w:bookmarkEnd w:id="6"/>
    </w:p>
    <w:p w14:paraId="17B7F92A" w14:textId="77777777" w:rsidR="00E82512" w:rsidRPr="001B2FEF" w:rsidRDefault="00E82512" w:rsidP="00972D21">
      <w:pPr>
        <w:pStyle w:val="GBHeading5"/>
        <w:keepNext w:val="0"/>
        <w:jc w:val="center"/>
        <w:rPr>
          <w:lang w:val="es-ES_tradnl"/>
        </w:rPr>
      </w:pPr>
      <w:bookmarkStart w:id="7" w:name="lt_pId010"/>
      <w:r w:rsidRPr="001B2FEF">
        <w:rPr>
          <w:lang w:val="es-ES_tradnl"/>
        </w:rPr>
        <w:t>Convenio sobre seguridad e higiene (trabajos portuarios), 1979 (núm. 152)</w:t>
      </w:r>
      <w:bookmarkEnd w:id="7"/>
    </w:p>
    <w:p w14:paraId="07DE8C9D" w14:textId="77777777" w:rsidR="00E82512" w:rsidRPr="001B2FEF" w:rsidRDefault="00E82512" w:rsidP="00972D21">
      <w:pPr>
        <w:pStyle w:val="GBHeading5"/>
        <w:keepNext w:val="0"/>
        <w:jc w:val="center"/>
        <w:rPr>
          <w:lang w:val="es-ES_tradnl"/>
        </w:rPr>
      </w:pPr>
      <w:bookmarkStart w:id="8" w:name="lt_pId011"/>
      <w:r w:rsidRPr="001B2FEF">
        <w:rPr>
          <w:lang w:val="es-ES_tradnl"/>
        </w:rPr>
        <w:t>Convenio sobre pueblos indígenas y tribales, 1989 (núm. 169)</w:t>
      </w:r>
      <w:bookmarkEnd w:id="8"/>
    </w:p>
    <w:p w14:paraId="7FC51A07" w14:textId="77777777" w:rsidR="00E82512" w:rsidRPr="001B2FEF" w:rsidRDefault="00E82512" w:rsidP="00972D21">
      <w:pPr>
        <w:pStyle w:val="GBHeading5"/>
        <w:keepNext w:val="0"/>
        <w:jc w:val="center"/>
        <w:rPr>
          <w:lang w:val="es-ES_tradnl"/>
        </w:rPr>
      </w:pPr>
      <w:bookmarkStart w:id="9" w:name="lt_pId012"/>
      <w:r w:rsidRPr="001B2FEF">
        <w:rPr>
          <w:lang w:val="es-ES_tradnl"/>
        </w:rPr>
        <w:t>Convenio sobre la protección de la maternidad, 2000 (núm. 183)</w:t>
      </w:r>
      <w:bookmarkEnd w:id="9"/>
    </w:p>
    <w:p w14:paraId="47848B2F" w14:textId="77777777" w:rsidR="00E82512" w:rsidRPr="001B2FEF" w:rsidRDefault="00E82512" w:rsidP="00972D21">
      <w:pPr>
        <w:pStyle w:val="GBHeading5"/>
        <w:spacing w:before="5160" w:after="0"/>
        <w:jc w:val="center"/>
        <w:rPr>
          <w:lang w:val="es-ES_tradnl"/>
        </w:rPr>
      </w:pPr>
      <w:bookmarkStart w:id="10" w:name="lt_pId013"/>
      <w:r w:rsidRPr="001B2FEF">
        <w:rPr>
          <w:lang w:val="es-ES_tradnl"/>
        </w:rPr>
        <w:t>Ginebra</w:t>
      </w:r>
      <w:bookmarkStart w:id="11" w:name="lt_pId014"/>
      <w:bookmarkEnd w:id="10"/>
      <w:r w:rsidRPr="001B2FEF">
        <w:rPr>
          <w:lang w:val="es-ES_tradnl"/>
        </w:rPr>
        <w:br/>
      </w:r>
    </w:p>
    <w:p w14:paraId="42DC61AA" w14:textId="77777777" w:rsidR="00E82512" w:rsidRPr="001B2FEF" w:rsidRDefault="00E82512" w:rsidP="00972D21">
      <w:pPr>
        <w:pStyle w:val="GBHeading5"/>
        <w:keepNext w:val="0"/>
        <w:spacing w:before="0" w:after="0"/>
        <w:jc w:val="center"/>
        <w:rPr>
          <w:lang w:val="es-ES_tradnl"/>
        </w:rPr>
      </w:pPr>
      <w:r w:rsidRPr="001B2FEF">
        <w:rPr>
          <w:lang w:val="es-ES_tradnl"/>
        </w:rPr>
        <w:t>2026</w:t>
      </w:r>
      <w:bookmarkEnd w:id="11"/>
      <w:r w:rsidRPr="001B2FEF">
        <w:rPr>
          <w:lang w:val="es-ES_tradnl"/>
        </w:rPr>
        <w:br w:type="page"/>
      </w:r>
    </w:p>
    <w:p w14:paraId="1B9B9D90" w14:textId="77777777" w:rsidR="00E82512" w:rsidRPr="001B2FEF" w:rsidRDefault="00E82512" w:rsidP="00972D21">
      <w:pPr>
        <w:pStyle w:val="GBParaIndentFirstline"/>
        <w:rPr>
          <w:i/>
          <w:iCs/>
          <w:lang w:val="es-ES_tradnl"/>
        </w:rPr>
      </w:pPr>
      <w:bookmarkStart w:id="12" w:name="lt_pId015"/>
      <w:r w:rsidRPr="001B2FEF">
        <w:rPr>
          <w:i/>
          <w:iCs/>
          <w:lang w:val="es-ES_tradnl"/>
        </w:rPr>
        <w:lastRenderedPageBreak/>
        <w:t>El artículo 19 de la Constitución de la Organización Internacional del Trabajo se refiere a la adopción, por la Conferencia, de convenios y de recomendaciones, así como a las obligaciones que de ello se derivan para los Miembros de la Organización.</w:t>
      </w:r>
      <w:bookmarkEnd w:id="12"/>
      <w:r w:rsidRPr="001B2FEF">
        <w:rPr>
          <w:i/>
          <w:iCs/>
          <w:lang w:val="es-ES_tradnl"/>
        </w:rPr>
        <w:t xml:space="preserve"> El tenor de </w:t>
      </w:r>
      <w:bookmarkStart w:id="13" w:name="lt_pId016"/>
      <w:r w:rsidRPr="001B2FEF">
        <w:rPr>
          <w:i/>
          <w:iCs/>
          <w:lang w:val="es-ES_tradnl"/>
        </w:rPr>
        <w:t>las disposiciones pertinentes de los párrafos 5 y 7 de dicho artículo es el siguiente:</w:t>
      </w:r>
      <w:bookmarkEnd w:id="13"/>
      <w:r w:rsidRPr="001B2FEF">
        <w:rPr>
          <w:i/>
          <w:iCs/>
          <w:lang w:val="es-ES_tradnl"/>
        </w:rPr>
        <w:t xml:space="preserve"> </w:t>
      </w:r>
    </w:p>
    <w:p w14:paraId="3BF858E2" w14:textId="77777777" w:rsidR="00E82512" w:rsidRPr="001B2FEF" w:rsidRDefault="00E82512" w:rsidP="00972D21">
      <w:pPr>
        <w:pStyle w:val="GBQuotationStyle1"/>
        <w:tabs>
          <w:tab w:val="left" w:pos="2478"/>
        </w:tabs>
        <w:ind w:left="1843" w:firstLine="284"/>
        <w:rPr>
          <w:lang w:val="es-ES_tradnl"/>
        </w:rPr>
      </w:pPr>
      <w:bookmarkStart w:id="14" w:name="lt_pId017"/>
      <w:r w:rsidRPr="001B2FEF">
        <w:rPr>
          <w:lang w:val="es-ES_tradnl"/>
        </w:rPr>
        <w:t>5.</w:t>
      </w:r>
      <w:bookmarkStart w:id="15" w:name="lt_pId018"/>
      <w:bookmarkEnd w:id="14"/>
      <w:r w:rsidRPr="001B2FEF">
        <w:rPr>
          <w:lang w:val="es-ES_tradnl"/>
        </w:rPr>
        <w:tab/>
        <w:t>En el caso de un convenio:</w:t>
      </w:r>
      <w:bookmarkEnd w:id="15"/>
    </w:p>
    <w:p w14:paraId="41769916" w14:textId="77777777" w:rsidR="00E82512" w:rsidRPr="001B2FEF" w:rsidRDefault="00E82512" w:rsidP="00972D21">
      <w:pPr>
        <w:pStyle w:val="GBQuotationStyle1"/>
        <w:rPr>
          <w:lang w:val="es-ES_tradnl"/>
        </w:rPr>
      </w:pPr>
      <w:bookmarkStart w:id="16" w:name="lt_pId019"/>
      <w:r w:rsidRPr="001B2FEF">
        <w:rPr>
          <w:lang w:val="es-ES_tradnl"/>
        </w:rPr>
        <w:t>[…]</w:t>
      </w:r>
      <w:bookmarkEnd w:id="16"/>
    </w:p>
    <w:p w14:paraId="7DDBC9AA" w14:textId="77777777" w:rsidR="00E82512" w:rsidRPr="001B2FEF" w:rsidRDefault="00E82512" w:rsidP="00972D21">
      <w:pPr>
        <w:pStyle w:val="GBQuotationStyle1"/>
        <w:ind w:left="2127" w:hanging="426"/>
        <w:rPr>
          <w:lang w:val="es-ES_tradnl"/>
        </w:rPr>
      </w:pPr>
      <w:bookmarkStart w:id="17" w:name="lt_pId020"/>
      <w:r w:rsidRPr="001B2FEF">
        <w:rPr>
          <w:i/>
          <w:iCs/>
          <w:lang w:val="es-ES_tradnl"/>
        </w:rPr>
        <w:t>e)</w:t>
      </w:r>
      <w:r w:rsidRPr="001B2FEF">
        <w:rPr>
          <w:lang w:val="es-ES_tradnl"/>
        </w:rPr>
        <w:tab/>
        <w:t>si el Miembro no obtuviere el consentimiento de la autoridad o autoridades a quienes competa el asunto, no recaerá sobre dicho Miembro ninguna otra obligación, a excepción de la de informar al Director General de la Oficina Internacional del Trabajo, con la frecuencia que fije el Consejo de Administración, sobre el estado de su legislación y la práctica en lo que respecta a los asuntos tratados en el convenio, precisando en qué medida se ha puesto o se propone poner en ejecución cualquiera de las disposiciones del convenio, por vía legislativa o administrativa, por medio de contratos colectivos, o de otro modo, e indicando las dificultades que impiden o retrasan la ratificación de dicho convenio.</w:t>
      </w:r>
      <w:bookmarkEnd w:id="17"/>
    </w:p>
    <w:p w14:paraId="73D47571" w14:textId="77777777" w:rsidR="00E82512" w:rsidRPr="001B2FEF" w:rsidRDefault="00E82512" w:rsidP="00972D21">
      <w:pPr>
        <w:pStyle w:val="GBQuotationStyle1"/>
        <w:tabs>
          <w:tab w:val="left" w:pos="2478"/>
        </w:tabs>
        <w:ind w:left="1843" w:firstLine="284"/>
        <w:rPr>
          <w:lang w:val="es-ES_tradnl"/>
        </w:rPr>
      </w:pPr>
      <w:bookmarkStart w:id="18" w:name="lt_pId021"/>
      <w:r w:rsidRPr="001B2FEF">
        <w:rPr>
          <w:lang w:val="es-ES_tradnl"/>
        </w:rPr>
        <w:t>7.</w:t>
      </w:r>
      <w:bookmarkStart w:id="19" w:name="lt_pId022"/>
      <w:bookmarkEnd w:id="18"/>
      <w:r w:rsidRPr="001B2FEF">
        <w:rPr>
          <w:lang w:val="es-ES_tradnl"/>
        </w:rPr>
        <w:tab/>
        <w:t>En el caso de un Estado federal, se aplicarán las siguientes disposiciones:</w:t>
      </w:r>
      <w:bookmarkEnd w:id="19"/>
      <w:r w:rsidRPr="001B2FEF">
        <w:rPr>
          <w:lang w:val="es-ES_tradnl"/>
        </w:rPr>
        <w:t xml:space="preserve"> </w:t>
      </w:r>
    </w:p>
    <w:p w14:paraId="38AA6577" w14:textId="77777777" w:rsidR="00E82512" w:rsidRPr="001B2FEF" w:rsidRDefault="00E82512" w:rsidP="00972D21">
      <w:pPr>
        <w:pStyle w:val="GBQuotationStyle1"/>
        <w:ind w:left="2127" w:hanging="426"/>
        <w:rPr>
          <w:lang w:val="es-ES_tradnl"/>
        </w:rPr>
      </w:pPr>
      <w:bookmarkStart w:id="20" w:name="lt_pId023"/>
      <w:r w:rsidRPr="001B2FEF">
        <w:rPr>
          <w:i/>
          <w:lang w:val="es-ES_tradnl"/>
        </w:rPr>
        <w:t>a)</w:t>
      </w:r>
      <w:r w:rsidRPr="001B2FEF">
        <w:rPr>
          <w:lang w:val="es-ES_tradnl"/>
        </w:rPr>
        <w:tab/>
        <w:t>respecto a los convenios y recomendaciones que el Gobierno federal considere apropiados de acuerdo con su sistema constitucional para la adopción de medidas en el ámbito federal, las obligaciones del Estado federal serán las mismas que las de los Miembros que no sean Estados federales</w:t>
      </w:r>
      <w:bookmarkEnd w:id="20"/>
      <w:r w:rsidRPr="001B2FEF">
        <w:rPr>
          <w:lang w:val="es-ES_tradnl"/>
        </w:rPr>
        <w:t>, y</w:t>
      </w:r>
    </w:p>
    <w:p w14:paraId="7C0351FB" w14:textId="77777777" w:rsidR="00E82512" w:rsidRPr="001B2FEF" w:rsidRDefault="00E82512" w:rsidP="00972D21">
      <w:pPr>
        <w:pStyle w:val="GBQuotationStyle1"/>
        <w:ind w:left="2127" w:hanging="426"/>
        <w:rPr>
          <w:lang w:val="es-ES_tradnl"/>
        </w:rPr>
      </w:pPr>
      <w:bookmarkStart w:id="21" w:name="lt_pId024"/>
      <w:r w:rsidRPr="001B2FEF">
        <w:rPr>
          <w:i/>
          <w:lang w:val="es-ES_tradnl"/>
        </w:rPr>
        <w:t>b)</w:t>
      </w:r>
      <w:r w:rsidRPr="001B2FEF">
        <w:rPr>
          <w:lang w:val="es-ES_tradnl"/>
        </w:rPr>
        <w:tab/>
        <w:t>respecto a los convenios y recomendaciones que el Gobierno federal considere más apropiados, total o parcialmente, de acuerdo con su sistema constitucional, para la adopción de medidas por parte de los Estados, provincias o cantones constitutivos que por parte del Estado federal, el Gobierno federal:</w:t>
      </w:r>
      <w:bookmarkEnd w:id="21"/>
      <w:r w:rsidRPr="001B2FEF">
        <w:rPr>
          <w:lang w:val="es-ES_tradnl"/>
        </w:rPr>
        <w:t xml:space="preserve"> </w:t>
      </w:r>
    </w:p>
    <w:p w14:paraId="266CFC87" w14:textId="77777777" w:rsidR="00E82512" w:rsidRPr="001B2FEF" w:rsidRDefault="00E82512" w:rsidP="00972D21">
      <w:pPr>
        <w:pStyle w:val="GBQuotationStyle1"/>
        <w:tabs>
          <w:tab w:val="left" w:pos="2478"/>
        </w:tabs>
        <w:ind w:left="1843" w:firstLine="284"/>
        <w:rPr>
          <w:lang w:val="es-ES_tradnl"/>
        </w:rPr>
      </w:pPr>
      <w:bookmarkStart w:id="22" w:name="lt_pId025"/>
      <w:r w:rsidRPr="001B2FEF">
        <w:rPr>
          <w:lang w:val="es-ES_tradnl"/>
        </w:rPr>
        <w:t>[…]</w:t>
      </w:r>
      <w:bookmarkEnd w:id="22"/>
    </w:p>
    <w:p w14:paraId="3E2081B6" w14:textId="77777777" w:rsidR="00E82512" w:rsidRPr="001B2FEF" w:rsidRDefault="00E82512" w:rsidP="00972D21">
      <w:pPr>
        <w:pStyle w:val="GBQuotationStyle1"/>
        <w:ind w:left="2552" w:hanging="425"/>
        <w:rPr>
          <w:lang w:val="es-ES_tradnl"/>
        </w:rPr>
      </w:pPr>
      <w:bookmarkStart w:id="23" w:name="lt_pId026"/>
      <w:r w:rsidRPr="001B2FEF">
        <w:rPr>
          <w:lang w:val="es-ES_tradnl"/>
        </w:rPr>
        <w:t>iv)</w:t>
      </w:r>
      <w:r w:rsidRPr="001B2FEF">
        <w:rPr>
          <w:lang w:val="es-ES_tradnl"/>
        </w:rPr>
        <w:tab/>
        <w:t>informará al Director General de la Oficina Internacional del Trabajo respecto a cada uno de esos convenios que no haya ratificado, con la frecuencia que fije el Consejo de Administración, sobre el estado de la legislación y la práctica de la federación y sus Estados, provincias o cantones constitutivos, precisando en qué medida se ha puesto o se propone poner en ejecución cualquiera de las disposiciones del convenio, por vía legislativa o administrativa, por medio de contratos colectivos, o de otro modo;</w:t>
      </w:r>
      <w:bookmarkEnd w:id="23"/>
      <w:r w:rsidRPr="001B2FEF">
        <w:rPr>
          <w:lang w:val="es-ES_tradnl"/>
        </w:rPr>
        <w:t xml:space="preserve"> </w:t>
      </w:r>
    </w:p>
    <w:p w14:paraId="001D0594" w14:textId="77777777" w:rsidR="00E82512" w:rsidRPr="001B2FEF" w:rsidRDefault="00E82512" w:rsidP="00972D21">
      <w:pPr>
        <w:pStyle w:val="GBParaIndentFirstline"/>
        <w:rPr>
          <w:i/>
          <w:iCs/>
          <w:lang w:val="es-ES_tradnl"/>
        </w:rPr>
      </w:pPr>
      <w:r w:rsidRPr="001B2FEF">
        <w:rPr>
          <w:i/>
          <w:iCs/>
          <w:lang w:val="es-ES_tradnl"/>
        </w:rPr>
        <w:t>De conformidad con estas disposiciones, el Consejo de Administración de la Oficina Internacional del Trabajo ha examinado y aprobado el siguiente formulario de memoria, que se ha preparado con el objeto de facilitar la comunicación uniforme de los datos solicitados.</w:t>
      </w:r>
    </w:p>
    <w:p w14:paraId="746BA5CD" w14:textId="77777777" w:rsidR="00E82512" w:rsidRPr="001B2FEF" w:rsidRDefault="00E82512" w:rsidP="00972D21">
      <w:pPr>
        <w:pStyle w:val="GBParaIndentFirstline"/>
        <w:spacing w:before="500"/>
        <w:jc w:val="center"/>
        <w:rPr>
          <w:b/>
          <w:bCs/>
          <w:color w:val="230050"/>
          <w:lang w:val="es-ES_tradnl"/>
        </w:rPr>
      </w:pPr>
      <w:r w:rsidRPr="001B2FEF">
        <w:rPr>
          <w:b/>
          <w:bCs/>
          <w:color w:val="230050"/>
          <w:lang w:val="es-ES_tradnl"/>
        </w:rPr>
        <w:t>Memoria</w:t>
      </w:r>
    </w:p>
    <w:p w14:paraId="60C49BAA" w14:textId="114BBEF9" w:rsidR="00E82512" w:rsidRPr="001B2FEF" w:rsidRDefault="00E82512" w:rsidP="00972D21">
      <w:pPr>
        <w:pStyle w:val="GBPara"/>
        <w:rPr>
          <w:lang w:val="es-ES_tradnl"/>
        </w:rPr>
      </w:pPr>
      <w:bookmarkStart w:id="24" w:name="lt_pId029"/>
      <w:bookmarkStart w:id="25" w:name="lt_pId030"/>
      <w:bookmarkEnd w:id="24"/>
      <w:r w:rsidRPr="001B2FEF">
        <w:rPr>
          <w:lang w:val="es-ES_tradnl"/>
        </w:rPr>
        <w:t xml:space="preserve">que el Gobierno de </w:t>
      </w:r>
      <w:r w:rsidR="0005672A" w:rsidRPr="001C4076">
        <w:rPr>
          <w:rFonts w:ascii="Aptos" w:eastAsia="Aptos" w:hAnsi="Aptos" w:cs="Times New Roman"/>
          <w:color w:val="FFFFFF"/>
          <w:kern w:val="2"/>
          <w:sz w:val="24"/>
          <w:szCs w:val="24"/>
          <w:lang w:val="es-ES_tradnl"/>
          <w14:ligatures w14:val="standardContextual"/>
        </w:rPr>
        <w:t>{</w:t>
      </w:r>
      <w:r w:rsidR="0005672A" w:rsidRPr="0005672A">
        <w:rPr>
          <w:rFonts w:ascii="Aptos" w:eastAsia="Aptos" w:hAnsi="Aptos" w:cs="Times New Roman"/>
          <w:b/>
          <w:kern w:val="2"/>
          <w:sz w:val="24"/>
          <w:szCs w:val="24"/>
          <w:lang w:val="en-US"/>
          <w14:ligatures w14:val="standardContextual"/>
        </w:rPr>
        <w:fldChar w:fldCharType="begin">
          <w:ffData>
            <w:name w:val="Text8"/>
            <w:enabled/>
            <w:calcOnExit w:val="0"/>
            <w:textInput/>
          </w:ffData>
        </w:fldChar>
      </w:r>
      <w:r w:rsidR="0005672A" w:rsidRPr="001C4076">
        <w:rPr>
          <w:rFonts w:ascii="Aptos" w:eastAsia="Aptos" w:hAnsi="Aptos" w:cs="Times New Roman"/>
          <w:b/>
          <w:kern w:val="2"/>
          <w:sz w:val="24"/>
          <w:szCs w:val="24"/>
          <w:lang w:val="es-ES_tradnl"/>
          <w14:ligatures w14:val="standardContextual"/>
        </w:rPr>
        <w:instrText xml:space="preserve"> FORMTEXT </w:instrText>
      </w:r>
      <w:r w:rsidR="0005672A" w:rsidRPr="0005672A">
        <w:rPr>
          <w:rFonts w:ascii="Aptos" w:eastAsia="Aptos" w:hAnsi="Aptos" w:cs="Times New Roman"/>
          <w:b/>
          <w:kern w:val="2"/>
          <w:sz w:val="24"/>
          <w:szCs w:val="24"/>
          <w:lang w:val="en-US"/>
          <w14:ligatures w14:val="standardContextual"/>
        </w:rPr>
      </w:r>
      <w:r w:rsidR="0005672A" w:rsidRPr="0005672A">
        <w:rPr>
          <w:rFonts w:ascii="Aptos" w:eastAsia="Aptos" w:hAnsi="Aptos" w:cs="Times New Roman"/>
          <w:b/>
          <w:kern w:val="2"/>
          <w:sz w:val="24"/>
          <w:szCs w:val="24"/>
          <w:lang w:val="en-US"/>
          <w14:ligatures w14:val="standardContextual"/>
        </w:rPr>
        <w:fldChar w:fldCharType="separate"/>
      </w:r>
      <w:r w:rsidR="0005672A" w:rsidRPr="0005672A">
        <w:rPr>
          <w:rFonts w:ascii="Aptos" w:eastAsia="Aptos" w:hAnsi="Aptos" w:cs="Times New Roman"/>
          <w:kern w:val="2"/>
          <w:sz w:val="24"/>
          <w:szCs w:val="24"/>
          <w:lang w:val="en-GB"/>
          <w14:ligatures w14:val="standardContextual"/>
        </w:rPr>
        <w:t> </w:t>
      </w:r>
      <w:r w:rsidR="0005672A" w:rsidRPr="0005672A">
        <w:rPr>
          <w:rFonts w:ascii="Aptos" w:eastAsia="Aptos" w:hAnsi="Aptos" w:cs="Times New Roman"/>
          <w:kern w:val="2"/>
          <w:sz w:val="24"/>
          <w:szCs w:val="24"/>
          <w:lang w:val="en-GB"/>
          <w14:ligatures w14:val="standardContextual"/>
        </w:rPr>
        <w:t> </w:t>
      </w:r>
      <w:r w:rsidR="0005672A" w:rsidRPr="0005672A">
        <w:rPr>
          <w:rFonts w:ascii="Aptos" w:eastAsia="Aptos" w:hAnsi="Aptos" w:cs="Times New Roman"/>
          <w:kern w:val="2"/>
          <w:sz w:val="24"/>
          <w:szCs w:val="24"/>
          <w:lang w:val="en-GB"/>
          <w14:ligatures w14:val="standardContextual"/>
        </w:rPr>
        <w:t> </w:t>
      </w:r>
      <w:r w:rsidR="0005672A" w:rsidRPr="0005672A">
        <w:rPr>
          <w:rFonts w:ascii="Aptos" w:eastAsia="Aptos" w:hAnsi="Aptos" w:cs="Times New Roman"/>
          <w:kern w:val="2"/>
          <w:sz w:val="24"/>
          <w:szCs w:val="24"/>
          <w:lang w:val="en-GB"/>
          <w14:ligatures w14:val="standardContextual"/>
        </w:rPr>
        <w:t> </w:t>
      </w:r>
      <w:r w:rsidR="0005672A" w:rsidRPr="0005672A">
        <w:rPr>
          <w:rFonts w:ascii="Aptos" w:eastAsia="Aptos" w:hAnsi="Aptos" w:cs="Times New Roman"/>
          <w:kern w:val="2"/>
          <w:sz w:val="24"/>
          <w:szCs w:val="24"/>
          <w:lang w:val="en-GB"/>
          <w14:ligatures w14:val="standardContextual"/>
        </w:rPr>
        <w:t> </w:t>
      </w:r>
      <w:r w:rsidR="0005672A" w:rsidRPr="0005672A">
        <w:rPr>
          <w:rFonts w:ascii="Aptos" w:eastAsia="Aptos" w:hAnsi="Aptos" w:cs="Times New Roman"/>
          <w:kern w:val="2"/>
          <w:sz w:val="24"/>
          <w:szCs w:val="24"/>
          <w:lang w:val="en-GB"/>
          <w14:ligatures w14:val="standardContextual"/>
        </w:rPr>
        <w:fldChar w:fldCharType="end"/>
      </w:r>
      <w:r w:rsidR="0005672A" w:rsidRPr="001C4076">
        <w:rPr>
          <w:rFonts w:ascii="Aptos" w:eastAsia="Aptos" w:hAnsi="Aptos" w:cs="Times New Roman"/>
          <w:color w:val="FFFFFF"/>
          <w:kern w:val="2"/>
          <w:sz w:val="24"/>
          <w:szCs w:val="24"/>
          <w:lang w:val="es-ES_tradnl"/>
          <w14:ligatures w14:val="standardContextual"/>
        </w:rPr>
        <w:t>}</w:t>
      </w:r>
      <w:r w:rsidRPr="001B2FEF">
        <w:rPr>
          <w:lang w:val="es-ES_tradnl"/>
        </w:rPr>
        <w:t>remitirá a más tardar el 28 de febrero de 2027, de conformidad con el artículo 19 de la Constitución de la Organización Internacional del Trabajo, sobre el estado de la legislación y la práctica nacionales en lo que respecta a las cuestiones sobre las que versan los instrumentos a que se hace referencia en el siguiente cuestionario.</w:t>
      </w:r>
      <w:bookmarkEnd w:id="25"/>
    </w:p>
    <w:p w14:paraId="7194AA16" w14:textId="77777777" w:rsidR="00E82512" w:rsidRPr="001B2FEF" w:rsidRDefault="00E82512" w:rsidP="00972D21">
      <w:pPr>
        <w:pStyle w:val="GBPara"/>
        <w:rPr>
          <w:lang w:val="es-ES_tradnl"/>
        </w:rPr>
      </w:pPr>
      <w:bookmarkStart w:id="26" w:name="lt_pId031"/>
      <w:r w:rsidRPr="001B2FEF">
        <w:rPr>
          <w:lang w:val="es-ES_tradnl"/>
        </w:rPr>
        <w:t>Las organizaciones de trabajadores y de empleadores podrán enviar comentarios a más tardar el 30 de junio de 2027.</w:t>
      </w:r>
      <w:bookmarkEnd w:id="26"/>
    </w:p>
    <w:p w14:paraId="6F4E0C52" w14:textId="77777777" w:rsidR="00E82512" w:rsidRPr="001B2FEF" w:rsidRDefault="00E82512" w:rsidP="00972D21">
      <w:pPr>
        <w:pStyle w:val="GBParaIndentFirstline"/>
        <w:spacing w:before="480"/>
        <w:jc w:val="center"/>
        <w:rPr>
          <w:lang w:val="es-ES_tradnl"/>
        </w:rPr>
      </w:pPr>
      <w:r w:rsidRPr="001B2FEF">
        <w:rPr>
          <w:lang w:val="es-ES_tradnl"/>
        </w:rPr>
        <w:t>*  *  *</w:t>
      </w:r>
    </w:p>
    <w:p w14:paraId="203B8939" w14:textId="77777777" w:rsidR="00E82512" w:rsidRPr="001B2FEF" w:rsidRDefault="00E82512" w:rsidP="00972D21">
      <w:pPr>
        <w:pStyle w:val="GBParaIndentFirstline"/>
        <w:spacing w:before="480"/>
        <w:jc w:val="left"/>
        <w:rPr>
          <w:lang w:val="es-ES_tradnl"/>
        </w:rPr>
      </w:pPr>
      <w:r w:rsidRPr="001B2FEF">
        <w:rPr>
          <w:lang w:val="es-ES_tradnl"/>
        </w:rPr>
        <w:br w:type="page"/>
      </w:r>
    </w:p>
    <w:p w14:paraId="270C04AF" w14:textId="77777777" w:rsidR="00E82512" w:rsidRPr="001B2FEF" w:rsidRDefault="00E82512" w:rsidP="00972D21">
      <w:pPr>
        <w:pStyle w:val="GBHeading2"/>
        <w:rPr>
          <w:lang w:val="es-ES_tradnl"/>
        </w:rPr>
      </w:pPr>
      <w:r w:rsidRPr="001B2FEF">
        <w:rPr>
          <w:lang w:val="es-ES_tradnl"/>
        </w:rPr>
        <w:lastRenderedPageBreak/>
        <w:t>Contexto y alcance de las preguntas</w:t>
      </w:r>
    </w:p>
    <w:p w14:paraId="131C712A" w14:textId="5BA0FB3E" w:rsidR="00E82512" w:rsidRPr="001B2FEF" w:rsidRDefault="00E82512" w:rsidP="00972D21">
      <w:pPr>
        <w:pStyle w:val="GBParaIndentFirstline"/>
        <w:keepNext/>
        <w:keepLines/>
        <w:rPr>
          <w:spacing w:val="-2"/>
          <w:lang w:val="es-ES_tradnl"/>
        </w:rPr>
      </w:pPr>
      <w:bookmarkStart w:id="27" w:name="lt_pId034"/>
      <w:r w:rsidRPr="001B2FEF">
        <w:rPr>
          <w:spacing w:val="-2"/>
          <w:lang w:val="es-ES_tradnl"/>
        </w:rPr>
        <w:t>En su 355.ª reunión (noviembre de 2025), el Consejo de Administración consideró que el estudio general que la Comisión de Expertos en Aplicación de Convenios y Recomendaciones habrá de elaborar en 2027, 2028 y 2029 debería centrarse en las perspectivas de ratificación de una selección de instrumentos actualizados</w:t>
      </w:r>
      <w:bookmarkEnd w:id="27"/>
      <w:r w:rsidRPr="001B2FEF">
        <w:rPr>
          <w:rStyle w:val="FootnoteReference"/>
          <w:spacing w:val="-2"/>
          <w:lang w:val="es-ES_tradnl"/>
        </w:rPr>
        <w:footnoteReference w:id="1"/>
      </w:r>
      <w:r w:rsidRPr="001B2FEF">
        <w:rPr>
          <w:spacing w:val="-2"/>
          <w:lang w:val="es-ES_tradnl"/>
        </w:rPr>
        <w:t xml:space="preserve">. </w:t>
      </w:r>
      <w:bookmarkStart w:id="31" w:name="lt_pId035"/>
      <w:r w:rsidRPr="001B2FEF">
        <w:rPr>
          <w:spacing w:val="-2"/>
          <w:lang w:val="es-ES_tradnl"/>
        </w:rPr>
        <w:t>El Consejo de Administración solicitó a la Oficina que elaborase, con miras a su examen en su 356.ª reunión (marzo-abril de</w:t>
      </w:r>
      <w:r w:rsidR="00F00329" w:rsidRPr="001B2FEF">
        <w:rPr>
          <w:spacing w:val="-2"/>
          <w:lang w:val="es-ES_tradnl"/>
        </w:rPr>
        <w:t xml:space="preserve"> </w:t>
      </w:r>
      <w:r w:rsidRPr="001B2FEF">
        <w:rPr>
          <w:spacing w:val="-2"/>
          <w:lang w:val="es-ES_tradnl"/>
        </w:rPr>
        <w:t>2026), el formulario de memoria en virtud del artículo 19 acerca del Convenio sobre el trabajo en la pesca, 2007 (núm.</w:t>
      </w:r>
      <w:r w:rsidR="00846E31" w:rsidRPr="001B2FEF">
        <w:rPr>
          <w:spacing w:val="-2"/>
          <w:lang w:val="es-ES_tradnl"/>
        </w:rPr>
        <w:t> </w:t>
      </w:r>
      <w:r w:rsidRPr="001B2FEF">
        <w:rPr>
          <w:spacing w:val="-2"/>
          <w:lang w:val="es-ES_tradnl"/>
        </w:rPr>
        <w:t xml:space="preserve">188), el Convenio sobre seguridad e higiene (trabajos portuarios), 1979 (núm. 152), el Convenio sobre pueblos indígenas y tribales, 1989 (núm. 169) y el Convenio sobre la protección de la maternidad, 2000 (núm. 183), a los efectos del estudio general que la </w:t>
      </w:r>
      <w:r w:rsidR="00846E31" w:rsidRPr="001B2FEF">
        <w:rPr>
          <w:spacing w:val="-2"/>
          <w:lang w:val="es-ES_tradnl"/>
        </w:rPr>
        <w:t>Comisión de Expertos en Aplicación de Convenios y Recomendaciones</w:t>
      </w:r>
      <w:r w:rsidRPr="001B2FEF">
        <w:rPr>
          <w:spacing w:val="-2"/>
          <w:lang w:val="es-ES_tradnl"/>
        </w:rPr>
        <w:t xml:space="preserve"> deberá preparar en</w:t>
      </w:r>
      <w:r w:rsidR="00846E31" w:rsidRPr="001B2FEF">
        <w:rPr>
          <w:spacing w:val="-2"/>
          <w:lang w:val="es-ES_tradnl"/>
        </w:rPr>
        <w:t xml:space="preserve"> </w:t>
      </w:r>
      <w:r w:rsidRPr="001B2FEF">
        <w:rPr>
          <w:spacing w:val="-2"/>
          <w:lang w:val="es-ES_tradnl"/>
        </w:rPr>
        <w:t>2027 a fin de que la Comisión de Aplicación de Normas de la Conferencia lo examine en 2028.</w:t>
      </w:r>
      <w:bookmarkEnd w:id="31"/>
    </w:p>
    <w:p w14:paraId="452E0597" w14:textId="7B239907" w:rsidR="00E82512" w:rsidRPr="001B2FEF" w:rsidRDefault="00E82512" w:rsidP="00972D21">
      <w:pPr>
        <w:pStyle w:val="GBParaIndentFirstline"/>
        <w:rPr>
          <w:lang w:val="es-ES_tradnl"/>
        </w:rPr>
      </w:pPr>
      <w:bookmarkStart w:id="32" w:name="lt_pId036"/>
      <w:r w:rsidRPr="001B2FEF">
        <w:rPr>
          <w:rFonts w:eastAsia="Noto Sans"/>
          <w:lang w:val="es-ES_tradnl"/>
        </w:rPr>
        <w:t>Durante la discusión mantenida en el seno del Consejo de Administración, se hizo referencia a que el estudio general podría servir para facilitar un entendimiento común a nivel institucional de las diversas circunstancias nacionales que influyen en la ratificación y la aplicación efectiva de las normas actualizadas seleccionadas</w:t>
      </w:r>
      <w:r w:rsidRPr="001B2FEF">
        <w:rPr>
          <w:rStyle w:val="FootnoteReference"/>
          <w:rFonts w:eastAsia="Noto Sans"/>
          <w:lang w:val="es-ES_tradnl"/>
        </w:rPr>
        <w:footnoteReference w:id="2"/>
      </w:r>
      <w:r w:rsidRPr="001B2FEF">
        <w:rPr>
          <w:rFonts w:eastAsia="Noto Sans"/>
          <w:lang w:val="es-ES_tradnl"/>
        </w:rPr>
        <w:t>, especialmente en los países en los que siguen estando vigentes instrumentos superados</w:t>
      </w:r>
      <w:bookmarkStart w:id="33" w:name="lt_pId036_leftovers"/>
      <w:r w:rsidRPr="001B2FEF">
        <w:rPr>
          <w:rStyle w:val="FootnoteReference"/>
          <w:rFonts w:eastAsia="Noto Sans"/>
          <w:lang w:val="es-ES_tradnl"/>
        </w:rPr>
        <w:footnoteReference w:id="3"/>
      </w:r>
      <w:bookmarkEnd w:id="33"/>
      <w:r w:rsidRPr="001B2FEF">
        <w:rPr>
          <w:rFonts w:eastAsia="Noto Sans"/>
          <w:lang w:val="es-ES_tradnl"/>
        </w:rPr>
        <w:t>; sus perspectivas de ratificación y los obstáculos para ello; y la asistencia técnica que puede necesitarse para superar estos obstáculos.</w:t>
      </w:r>
      <w:bookmarkEnd w:id="32"/>
      <w:r w:rsidRPr="001B2FEF">
        <w:rPr>
          <w:rFonts w:eastAsia="Noto Sans"/>
          <w:lang w:val="es-ES_tradnl"/>
        </w:rPr>
        <w:t xml:space="preserve"> </w:t>
      </w:r>
      <w:bookmarkStart w:id="34" w:name="lt_pId037"/>
      <w:r w:rsidRPr="001B2FEF">
        <w:rPr>
          <w:rFonts w:eastAsia="Noto Sans"/>
          <w:lang w:val="es-ES_tradnl"/>
        </w:rPr>
        <w:t>Un estudio general brindaría información exhaustiva sobre los avances con respecto a las recomendaciones del GTT del MEN, cuyo seguimiento se reconoce que constituye una prioridad institucional, y sobre el efecto que tiene la labor de promoción para dar cumplimiento a esas recomendaciones</w:t>
      </w:r>
      <w:bookmarkEnd w:id="34"/>
      <w:r w:rsidRPr="001B2FEF">
        <w:rPr>
          <w:rStyle w:val="FootnoteReference"/>
          <w:rFonts w:eastAsia="Noto Sans"/>
          <w:lang w:val="es-ES_tradnl"/>
        </w:rPr>
        <w:footnoteReference w:id="4"/>
      </w:r>
      <w:r w:rsidRPr="001B2FEF">
        <w:rPr>
          <w:rFonts w:eastAsia="Noto Sans"/>
          <w:lang w:val="es-ES_tradnl"/>
        </w:rPr>
        <w:t>.</w:t>
      </w:r>
      <w:r w:rsidRPr="001B2FEF">
        <w:rPr>
          <w:lang w:val="es-ES_tradnl"/>
        </w:rPr>
        <w:t xml:space="preserve"> </w:t>
      </w:r>
      <w:bookmarkStart w:id="35" w:name="lt_pId038"/>
      <w:r w:rsidRPr="001B2FEF">
        <w:rPr>
          <w:lang w:val="es-ES_tradnl"/>
        </w:rPr>
        <w:t>Por último, el estudio general podría proporcionar información pertinente para la preparación de la próxima discusión recurrente sobre el objetivo estratégico relativo a la protección social (protección de los trabajadores), que se celebrará en la 117</w:t>
      </w:r>
      <w:r w:rsidR="004926BC" w:rsidRPr="001B2FEF">
        <w:rPr>
          <w:lang w:val="es-ES_tradnl"/>
        </w:rPr>
        <w:t>.ª</w:t>
      </w:r>
      <w:r w:rsidRPr="001B2FEF">
        <w:rPr>
          <w:lang w:val="es-ES_tradnl"/>
        </w:rPr>
        <w:t xml:space="preserve"> reunión de la Conferencia Internacional del Trabajo (2029).</w:t>
      </w:r>
    </w:p>
    <w:bookmarkEnd w:id="35"/>
    <w:p w14:paraId="11994794" w14:textId="23FC623D" w:rsidR="00E82512" w:rsidRPr="001B2FEF" w:rsidRDefault="00E82512" w:rsidP="00972D21">
      <w:pPr>
        <w:pStyle w:val="GBParaIndentFirstline"/>
        <w:rPr>
          <w:spacing w:val="2"/>
          <w:lang w:val="es-ES_tradnl"/>
        </w:rPr>
      </w:pPr>
      <w:r w:rsidRPr="001B2FEF">
        <w:rPr>
          <w:spacing w:val="2"/>
          <w:lang w:val="es-ES_tradnl"/>
        </w:rPr>
        <w:t xml:space="preserve">Dado </w:t>
      </w:r>
      <w:r w:rsidRPr="001B2FEF">
        <w:rPr>
          <w:rFonts w:eastAsia="Noto Sans"/>
          <w:spacing w:val="2"/>
          <w:lang w:val="es-ES_tradnl"/>
        </w:rPr>
        <w:t>que</w:t>
      </w:r>
      <w:r w:rsidRPr="001B2FEF">
        <w:rPr>
          <w:spacing w:val="2"/>
          <w:lang w:val="es-ES_tradnl"/>
        </w:rPr>
        <w:t xml:space="preserve"> la selección de convenios actualizados abarca una gran diversidad de temas, en el formulario de memoria, que está estructurado como un simple cuestionario, se solicita que los Gobiernos indiquen brevemente, para cada uno de los convenios</w:t>
      </w:r>
      <w:r w:rsidR="004926BC" w:rsidRPr="001B2FEF">
        <w:rPr>
          <w:spacing w:val="2"/>
          <w:lang w:val="es-ES_tradnl"/>
        </w:rPr>
        <w:t>:</w:t>
      </w:r>
      <w:r w:rsidRPr="001B2FEF">
        <w:rPr>
          <w:spacing w:val="2"/>
          <w:lang w:val="es-ES_tradnl"/>
        </w:rPr>
        <w:t xml:space="preserve"> </w:t>
      </w:r>
      <w:r w:rsidRPr="001B2FEF">
        <w:rPr>
          <w:i/>
          <w:iCs/>
          <w:spacing w:val="2"/>
          <w:lang w:val="es-ES_tradnl"/>
        </w:rPr>
        <w:t>a)</w:t>
      </w:r>
      <w:r w:rsidRPr="001B2FEF">
        <w:rPr>
          <w:spacing w:val="2"/>
          <w:lang w:val="es-ES_tradnl"/>
        </w:rPr>
        <w:t xml:space="preserve"> en qué medida se proponen poner en ejecución las disposiciones del instrumento y </w:t>
      </w:r>
      <w:r w:rsidRPr="001B2FEF">
        <w:rPr>
          <w:i/>
          <w:iCs/>
          <w:spacing w:val="2"/>
          <w:lang w:val="es-ES_tradnl"/>
        </w:rPr>
        <w:t>b)</w:t>
      </w:r>
      <w:r w:rsidRPr="001B2FEF">
        <w:rPr>
          <w:spacing w:val="2"/>
          <w:lang w:val="es-ES_tradnl"/>
        </w:rPr>
        <w:t xml:space="preserve"> cualquier dificultad que impida o retrase su ratificación. En sus respuestas, deberían proporcionar, de forma concisa, información esencial específica para cada instrumento, en la que se resuman las </w:t>
      </w:r>
      <w:r w:rsidRPr="001B2FEF">
        <w:rPr>
          <w:spacing w:val="2"/>
          <w:lang w:val="es-ES_tradnl"/>
        </w:rPr>
        <w:lastRenderedPageBreak/>
        <w:t>principales medidas propuestas para poner en ejecución los respectivos convenios, junto con todo obstáculo para su ratificación.</w:t>
      </w:r>
    </w:p>
    <w:p w14:paraId="405BA473" w14:textId="77777777" w:rsidR="00E82512" w:rsidRPr="001B2FEF" w:rsidRDefault="00E82512" w:rsidP="00972D21">
      <w:pPr>
        <w:pStyle w:val="GBParaIndentFirstline"/>
        <w:spacing w:before="500"/>
        <w:jc w:val="center"/>
        <w:rPr>
          <w:lang w:val="es-ES_tradnl"/>
        </w:rPr>
      </w:pPr>
      <w:r w:rsidRPr="001B2FEF">
        <w:rPr>
          <w:lang w:val="es-ES_tradnl"/>
        </w:rPr>
        <w:t>*  *  *</w:t>
      </w:r>
    </w:p>
    <w:p w14:paraId="16C0A5A6" w14:textId="77777777" w:rsidR="00E82512" w:rsidRPr="001B2FEF" w:rsidRDefault="00E82512" w:rsidP="00972D21">
      <w:pPr>
        <w:pStyle w:val="GBParaIndentFirstline"/>
        <w:rPr>
          <w:lang w:val="es-ES_tradnl"/>
        </w:rPr>
      </w:pPr>
      <w:r w:rsidRPr="001B2FEF">
        <w:rPr>
          <w:lang w:val="es-ES_tradnl"/>
        </w:rPr>
        <w:t>Las siguientes preguntas se refieren a las perspectivas de ratificación de una selección de convenios actualizados; y se dirigen únicamente a los Estados Miembros que no han ratificado esas normas.</w:t>
      </w:r>
    </w:p>
    <w:p w14:paraId="779F8AEC" w14:textId="77777777" w:rsidR="00E82512" w:rsidRPr="001B2FEF" w:rsidRDefault="00E82512" w:rsidP="00972D21">
      <w:pPr>
        <w:pStyle w:val="GBParaIndentFirstline"/>
        <w:rPr>
          <w:lang w:val="es-ES_tradnl"/>
        </w:rPr>
      </w:pPr>
      <w:r w:rsidRPr="001B2FEF">
        <w:rPr>
          <w:lang w:val="es-ES_tradnl"/>
        </w:rPr>
        <w:t>En el caso de los Estados federales, sírvase contestar las preguntas que figuran a continuación, tanto en lo relativo al ámbito federal como al ámbito de las entidades federadas.</w:t>
      </w:r>
    </w:p>
    <w:p w14:paraId="3EA173B9" w14:textId="77777777" w:rsidR="00E82512" w:rsidRPr="001B2FEF" w:rsidRDefault="00E82512" w:rsidP="00972D21">
      <w:pPr>
        <w:pStyle w:val="GBParaIndentFirstline"/>
        <w:rPr>
          <w:lang w:val="es-ES_tradnl"/>
        </w:rPr>
      </w:pPr>
      <w:r w:rsidRPr="001B2FEF">
        <w:rPr>
          <w:lang w:val="es-ES_tradnl"/>
        </w:rPr>
        <w:t>En ausencia de nuevos acontecimientos recientes relativos a un convenio determinado, puede hacerse referencia a la información proporcionada anteriormente a la OIT en una memoria sobre un convenio no ratificado o en relación con la sumisión de un convenio a las autoridades competentes.</w:t>
      </w:r>
    </w:p>
    <w:p w14:paraId="52E160F0" w14:textId="77777777" w:rsidR="00E82512" w:rsidRPr="001B2FEF" w:rsidRDefault="00E82512" w:rsidP="00972D21">
      <w:pPr>
        <w:pStyle w:val="GBParaIndentFirstline"/>
        <w:rPr>
          <w:b/>
          <w:bCs/>
          <w:lang w:val="es-ES_tradnl"/>
        </w:rPr>
      </w:pPr>
      <w:r w:rsidRPr="001B2FEF">
        <w:rPr>
          <w:b/>
          <w:bCs/>
          <w:lang w:val="es-ES_tradnl"/>
        </w:rPr>
        <w:t>Cuando sea de fácil acceso, sírvase facilitar una referencia concreta (incluidos enlaces web) para la información relativa a las disposiciones de la legislación, los reglamentos, los convenios colectivos, las directivas laborales, los laudos arbitrales, las decisiones judiciales y las políticas (o adjuntar una copia electrónica de esa información).</w:t>
      </w:r>
    </w:p>
    <w:p w14:paraId="2B50C423" w14:textId="77777777" w:rsidR="00E82512" w:rsidRPr="001B2FEF" w:rsidRDefault="00E82512" w:rsidP="00972D21">
      <w:pPr>
        <w:pStyle w:val="EFSGGBParaNum"/>
        <w:ind w:left="340" w:firstLine="380"/>
        <w:rPr>
          <w:b/>
          <w:bCs/>
          <w:lang w:val="es-ES_tradnl"/>
        </w:rPr>
      </w:pPr>
      <w:r w:rsidRPr="001B2FEF">
        <w:rPr>
          <w:b/>
          <w:bCs/>
          <w:lang w:val="es-ES_tradnl"/>
        </w:rPr>
        <w:br w:type="page"/>
      </w:r>
    </w:p>
    <w:p w14:paraId="54812A3C" w14:textId="0950A4A8" w:rsidR="00E82512" w:rsidRPr="001B2FEF" w:rsidRDefault="00E82512" w:rsidP="00972D21">
      <w:pPr>
        <w:pStyle w:val="GBHeading2"/>
        <w:rPr>
          <w:lang w:val="es-ES_tradnl"/>
        </w:rPr>
      </w:pPr>
      <w:bookmarkStart w:id="36" w:name="lt_pId046"/>
      <w:r w:rsidRPr="001B2FEF">
        <w:rPr>
          <w:lang w:val="es-ES_tradnl"/>
        </w:rPr>
        <w:lastRenderedPageBreak/>
        <w:t>Formulario de memoria en virtud del artículo 19 sobre los Convenios núms. 188, 152, 169 y 183</w:t>
      </w:r>
      <w:bookmarkEnd w:id="36"/>
      <w:r w:rsidR="00B62393">
        <w:rPr>
          <w:lang w:val="es-ES_tradnl"/>
        </w:rPr>
        <w:t xml:space="preserve"> d</w:t>
      </w:r>
      <w:r w:rsidR="00B62393" w:rsidRPr="001B2FEF">
        <w:rPr>
          <w:lang w:val="es-ES_tradnl"/>
        </w:rPr>
        <w:t xml:space="preserve">el Gobierno de </w:t>
      </w:r>
      <w:r w:rsidR="00B62393" w:rsidRPr="001C4076">
        <w:rPr>
          <w:rFonts w:ascii="Aptos" w:eastAsia="Aptos" w:hAnsi="Aptos" w:cs="Times New Roman"/>
          <w:color w:val="FFFFFF"/>
          <w:kern w:val="2"/>
          <w:sz w:val="24"/>
          <w:szCs w:val="24"/>
          <w:lang w:val="es-ES_tradnl"/>
          <w14:ligatures w14:val="standardContextual"/>
        </w:rPr>
        <w:t>{</w:t>
      </w:r>
      <w:r w:rsidR="00B62393" w:rsidRPr="0005672A">
        <w:rPr>
          <w:rFonts w:ascii="Aptos" w:eastAsia="Aptos" w:hAnsi="Aptos" w:cs="Times New Roman"/>
          <w:kern w:val="2"/>
          <w:sz w:val="24"/>
          <w:szCs w:val="24"/>
          <w:lang w:val="en-US"/>
          <w14:ligatures w14:val="standardContextual"/>
        </w:rPr>
        <w:fldChar w:fldCharType="begin">
          <w:ffData>
            <w:name w:val="Text8"/>
            <w:enabled/>
            <w:calcOnExit w:val="0"/>
            <w:textInput/>
          </w:ffData>
        </w:fldChar>
      </w:r>
      <w:r w:rsidR="00B62393" w:rsidRPr="001C4076">
        <w:rPr>
          <w:rFonts w:ascii="Aptos" w:eastAsia="Aptos" w:hAnsi="Aptos" w:cs="Times New Roman"/>
          <w:kern w:val="2"/>
          <w:sz w:val="24"/>
          <w:szCs w:val="24"/>
          <w:lang w:val="es-ES_tradnl"/>
          <w14:ligatures w14:val="standardContextual"/>
        </w:rPr>
        <w:instrText xml:space="preserve"> FORMTEXT </w:instrText>
      </w:r>
      <w:r w:rsidR="00B62393" w:rsidRPr="0005672A">
        <w:rPr>
          <w:rFonts w:ascii="Aptos" w:eastAsia="Aptos" w:hAnsi="Aptos" w:cs="Times New Roman"/>
          <w:b w:val="0"/>
          <w:kern w:val="2"/>
          <w:sz w:val="24"/>
          <w:szCs w:val="24"/>
          <w:lang w:val="en-US"/>
          <w14:ligatures w14:val="standardContextual"/>
        </w:rPr>
      </w:r>
      <w:r w:rsidR="00B62393" w:rsidRPr="0005672A">
        <w:rPr>
          <w:rFonts w:ascii="Aptos" w:eastAsia="Aptos" w:hAnsi="Aptos" w:cs="Times New Roman"/>
          <w:kern w:val="2"/>
          <w:sz w:val="24"/>
          <w:szCs w:val="24"/>
          <w:lang w:val="en-US"/>
          <w14:ligatures w14:val="standardContextual"/>
        </w:rPr>
        <w:fldChar w:fldCharType="separate"/>
      </w:r>
      <w:r w:rsidR="00B62393" w:rsidRPr="0005672A">
        <w:rPr>
          <w:rFonts w:ascii="Aptos" w:eastAsia="Aptos" w:hAnsi="Aptos" w:cs="Times New Roman"/>
          <w:kern w:val="2"/>
          <w:sz w:val="24"/>
          <w:szCs w:val="24"/>
          <w:lang w:val="en-GB"/>
          <w14:ligatures w14:val="standardContextual"/>
        </w:rPr>
        <w:t> </w:t>
      </w:r>
      <w:r w:rsidR="00B62393" w:rsidRPr="0005672A">
        <w:rPr>
          <w:rFonts w:ascii="Aptos" w:eastAsia="Aptos" w:hAnsi="Aptos" w:cs="Times New Roman"/>
          <w:kern w:val="2"/>
          <w:sz w:val="24"/>
          <w:szCs w:val="24"/>
          <w:lang w:val="en-GB"/>
          <w14:ligatures w14:val="standardContextual"/>
        </w:rPr>
        <w:t> </w:t>
      </w:r>
      <w:r w:rsidR="00B62393" w:rsidRPr="0005672A">
        <w:rPr>
          <w:rFonts w:ascii="Aptos" w:eastAsia="Aptos" w:hAnsi="Aptos" w:cs="Times New Roman"/>
          <w:kern w:val="2"/>
          <w:sz w:val="24"/>
          <w:szCs w:val="24"/>
          <w:lang w:val="en-GB"/>
          <w14:ligatures w14:val="standardContextual"/>
        </w:rPr>
        <w:t> </w:t>
      </w:r>
      <w:r w:rsidR="00B62393" w:rsidRPr="0005672A">
        <w:rPr>
          <w:rFonts w:ascii="Aptos" w:eastAsia="Aptos" w:hAnsi="Aptos" w:cs="Times New Roman"/>
          <w:kern w:val="2"/>
          <w:sz w:val="24"/>
          <w:szCs w:val="24"/>
          <w:lang w:val="en-GB"/>
          <w14:ligatures w14:val="standardContextual"/>
        </w:rPr>
        <w:t> </w:t>
      </w:r>
      <w:r w:rsidR="00B62393" w:rsidRPr="0005672A">
        <w:rPr>
          <w:rFonts w:ascii="Aptos" w:eastAsia="Aptos" w:hAnsi="Aptos" w:cs="Times New Roman"/>
          <w:kern w:val="2"/>
          <w:sz w:val="24"/>
          <w:szCs w:val="24"/>
          <w:lang w:val="en-GB"/>
          <w14:ligatures w14:val="standardContextual"/>
        </w:rPr>
        <w:t> </w:t>
      </w:r>
      <w:r w:rsidR="00B62393" w:rsidRPr="0005672A">
        <w:rPr>
          <w:rFonts w:ascii="Aptos" w:eastAsia="Aptos" w:hAnsi="Aptos" w:cs="Times New Roman"/>
          <w:kern w:val="2"/>
          <w:sz w:val="24"/>
          <w:szCs w:val="24"/>
          <w:lang w:val="en-GB"/>
          <w14:ligatures w14:val="standardContextual"/>
        </w:rPr>
        <w:fldChar w:fldCharType="end"/>
      </w:r>
      <w:r w:rsidR="00B62393" w:rsidRPr="001C4076">
        <w:rPr>
          <w:rFonts w:ascii="Aptos" w:eastAsia="Aptos" w:hAnsi="Aptos" w:cs="Times New Roman"/>
          <w:color w:val="FFFFFF"/>
          <w:kern w:val="2"/>
          <w:sz w:val="24"/>
          <w:szCs w:val="24"/>
          <w:lang w:val="es-ES_tradnl"/>
          <w14:ligatures w14:val="standardContextual"/>
        </w:rPr>
        <w:t>}</w:t>
      </w:r>
    </w:p>
    <w:p w14:paraId="7A3E307C" w14:textId="77777777" w:rsidR="00E82512" w:rsidRPr="001B2FEF" w:rsidRDefault="00E82512" w:rsidP="00972D21">
      <w:pPr>
        <w:pStyle w:val="GBHeading3Indent"/>
        <w:rPr>
          <w:lang w:val="es-ES_tradnl"/>
        </w:rPr>
      </w:pPr>
      <w:r w:rsidRPr="001B2FEF">
        <w:rPr>
          <w:lang w:val="es-ES_tradnl"/>
        </w:rPr>
        <w:t>I.</w:t>
      </w:r>
      <w:r w:rsidRPr="001B2FEF">
        <w:rPr>
          <w:lang w:val="es-ES_tradnl"/>
        </w:rPr>
        <w:tab/>
      </w:r>
      <w:hyperlink r:id="rId8" w:history="1">
        <w:bookmarkStart w:id="37" w:name="lt_pId047"/>
        <w:r w:rsidRPr="001B2FEF">
          <w:rPr>
            <w:rStyle w:val="GBHyperlink"/>
            <w:rFonts w:ascii="Overpass" w:eastAsia="Noto Sans SC Bold" w:hAnsi="Overpass" w:cs="Overpass"/>
            <w:lang w:val="es-ES_tradnl"/>
          </w:rPr>
          <w:t>Convenio sobre el trabajo en la pesca, 2007 (núm. 188)</w:t>
        </w:r>
        <w:bookmarkEnd w:id="37"/>
      </w:hyperlink>
    </w:p>
    <w:p w14:paraId="3ED70C71" w14:textId="77777777" w:rsidR="00E82512" w:rsidRPr="001B2FEF" w:rsidRDefault="00E82512" w:rsidP="00972D21">
      <w:pPr>
        <w:pStyle w:val="GBParaIndentFirstline"/>
        <w:rPr>
          <w:lang w:val="es-ES_tradnl"/>
        </w:rPr>
      </w:pPr>
      <w:bookmarkStart w:id="38" w:name="lt_pId048"/>
      <w:r w:rsidRPr="001B2FEF">
        <w:rPr>
          <w:lang w:val="es-ES_tradnl"/>
        </w:rPr>
        <w:t>El Convenio núm. 188 es la norma internacional del trabajo más actualizada que se ocupa de las condiciones de trabajo y de vida de los pescadores. Revisa, refunde y complementa los instrumentos anteriores referidos al sector pesquero que se consideran superados (Convenio sobre la edad mínima (pescadores), 1959 (núm. 112); Convenio sobre el examen médico de los pescadores, 1959 (núm. 113); Convenio sobre el contrato de enrolamiento de los pescadores, 1959 (núm. 114), y Convenio sobre el alojamiento de la tripulación (pescadores), 1966 (núm. 126)). El Convenio tiene por objeto garantizar que los pescadores gocen de unas condiciones de trabajo decentes a bordo de los buques pesqueros en lo que atañe a requisitos mínimos, como la edad mínima, los exámenes médicos, los acuerdos de trabajo de los pescadores, la dotación, las horas de descanso, la repatriación, la contratación y la colocación, la remuneración, el alojamiento y la alimentación, la protección de la seguridad y salud en el trabajo, la atención médica y la seguridad social. El Convenio se aplica a la pesca comercial y no a la pesca de subsistencia o la pesca deportiva; y contempla exclusiones de algunas categorías limitadas de pescadores o de buques pesqueros en las condiciones en él establecidas.</w:t>
      </w:r>
    </w:p>
    <w:p w14:paraId="5B052D95" w14:textId="77777777" w:rsidR="00E82512" w:rsidRPr="001B2FEF" w:rsidRDefault="00E82512" w:rsidP="00972D21">
      <w:pPr>
        <w:pStyle w:val="GBParaIndentFirstline"/>
        <w:rPr>
          <w:lang w:val="es-ES_tradnl"/>
        </w:rPr>
      </w:pPr>
      <w:bookmarkStart w:id="39" w:name="lt_pId052"/>
      <w:bookmarkEnd w:id="38"/>
      <w:r w:rsidRPr="001B2FEF">
        <w:rPr>
          <w:lang w:val="es-ES_tradnl"/>
        </w:rPr>
        <w:t>En su 352.ª reunión (octubre-noviembre de 2024), el Consejo de Administración aprobó las recomendaciones adoptadas por la novena reunión del GTT del MEN</w:t>
      </w:r>
      <w:r w:rsidRPr="001B2FEF">
        <w:rPr>
          <w:rStyle w:val="FootnoteReference"/>
          <w:lang w:val="es-ES_tradnl"/>
        </w:rPr>
        <w:footnoteReference w:id="5"/>
      </w:r>
      <w:r w:rsidRPr="001B2FEF">
        <w:rPr>
          <w:lang w:val="es-ES_tradnl"/>
        </w:rPr>
        <w:t>, incluida la promoción específica de la ratificación y aplicación efectiva del Convenio núm. 188 en los Estados Miembros en los que los Convenios núms. 112, 113, 114 y 126 están vigentes en la actualidad</w:t>
      </w:r>
      <w:r w:rsidRPr="001B2FEF">
        <w:rPr>
          <w:rStyle w:val="FootnoteReference"/>
          <w:lang w:val="es-ES_tradnl"/>
        </w:rPr>
        <w:footnoteReference w:id="6"/>
      </w:r>
      <w:r w:rsidRPr="001B2FEF">
        <w:rPr>
          <w:lang w:val="es-ES_tradnl"/>
        </w:rPr>
        <w:t>.</w:t>
      </w:r>
    </w:p>
    <w:p w14:paraId="70B2817F" w14:textId="77777777" w:rsidR="00E82512" w:rsidRPr="001B2FEF" w:rsidRDefault="00E82512" w:rsidP="00972D21">
      <w:pPr>
        <w:pStyle w:val="GBHeading4"/>
        <w:rPr>
          <w:lang w:val="es-ES_tradnl"/>
        </w:rPr>
      </w:pPr>
      <w:bookmarkStart w:id="40" w:name="lt_pId053"/>
      <w:bookmarkEnd w:id="39"/>
      <w:r w:rsidRPr="001B2FEF">
        <w:rPr>
          <w:lang w:val="es-ES_tradnl"/>
        </w:rPr>
        <w:t>Preguntas sobre el Convenio núm. 188</w:t>
      </w:r>
      <w:bookmarkEnd w:id="40"/>
    </w:p>
    <w:p w14:paraId="0B1ED336" w14:textId="77777777" w:rsidR="00E82512" w:rsidRPr="001B2FEF" w:rsidRDefault="00E82512" w:rsidP="00972D21">
      <w:pPr>
        <w:pStyle w:val="GBIndent1"/>
        <w:rPr>
          <w:lang w:val="es-ES_tradnl"/>
        </w:rPr>
      </w:pPr>
      <w:bookmarkStart w:id="41" w:name="lt_pId055"/>
      <w:r w:rsidRPr="001B2FEF">
        <w:rPr>
          <w:lang w:val="es-ES_tradnl"/>
        </w:rPr>
        <w:t>1.</w:t>
      </w:r>
      <w:r w:rsidRPr="001B2FEF">
        <w:rPr>
          <w:lang w:val="es-ES_tradnl"/>
        </w:rPr>
        <w:tab/>
        <w:t>Si su país no ha ratificado el Convenio núm. 188, sírvase indicar brevemente:</w:t>
      </w:r>
    </w:p>
    <w:p w14:paraId="38996BA6" w14:textId="77777777" w:rsidR="00E82512" w:rsidRDefault="00E82512" w:rsidP="00407EDF">
      <w:pPr>
        <w:pStyle w:val="GBIndent2"/>
        <w:ind w:left="1843" w:hanging="539"/>
        <w:rPr>
          <w:lang w:val="es-ES_tradnl"/>
        </w:rPr>
      </w:pPr>
      <w:r w:rsidRPr="001B2FEF">
        <w:rPr>
          <w:lang w:val="es-ES_tradnl"/>
        </w:rPr>
        <w:t>1.</w:t>
      </w:r>
      <w:r w:rsidRPr="001B2FEF">
        <w:rPr>
          <w:i/>
          <w:iCs/>
          <w:lang w:val="es-ES_tradnl"/>
        </w:rPr>
        <w:t>a)</w:t>
      </w:r>
      <w:r w:rsidRPr="001B2FEF">
        <w:rPr>
          <w:lang w:val="es-ES_tradnl"/>
        </w:rPr>
        <w:tab/>
        <w:t xml:space="preserve">en qué medida su país se propone poner en ejecución las disposiciones del </w:t>
      </w:r>
      <w:r w:rsidRPr="001B2FEF">
        <w:rPr>
          <w:b/>
          <w:bCs/>
          <w:lang w:val="es-ES_tradnl"/>
        </w:rPr>
        <w:t>Convenio núm. 188</w:t>
      </w:r>
      <w:r w:rsidRPr="001B2FEF">
        <w:rPr>
          <w:lang w:val="es-ES_tradnl"/>
        </w:rPr>
        <w:t>;</w:t>
      </w:r>
      <w:bookmarkEnd w:id="41"/>
    </w:p>
    <w:p w14:paraId="4FFFE56A" w14:textId="427FD72B" w:rsidR="002F0CDC" w:rsidRPr="001B2FEF" w:rsidRDefault="002F0CDC" w:rsidP="00407EDF">
      <w:pPr>
        <w:pStyle w:val="GBIndent2"/>
        <w:ind w:left="1843" w:hanging="539"/>
        <w:rPr>
          <w:lang w:val="es-ES_tradnl"/>
        </w:rPr>
      </w:pPr>
      <w:r>
        <w:rPr>
          <w:color w:val="FFFFFF" w:themeColor="background1"/>
        </w:rPr>
        <w:t xml:space="preserve">{   </w:t>
      </w:r>
      <w:r>
        <w:rPr>
          <w:b/>
          <w:lang w:val="en-US"/>
        </w:rPr>
        <w:fldChar w:fldCharType="begin">
          <w:ffData>
            <w:name w:val="Text8"/>
            <w:enabled/>
            <w:calcOnExit w:val="0"/>
            <w:textInput/>
          </w:ffData>
        </w:fldChar>
      </w:r>
      <w:bookmarkStart w:id="42" w:name="Text8"/>
      <w:r w:rsidRPr="002F0CDC">
        <w:rPr>
          <w:b/>
          <w:lang w:val="es-ES_tradnl"/>
        </w:rPr>
        <w:instrText xml:space="preserve"> FORMTEXT </w:instrText>
      </w:r>
      <w:r>
        <w:rPr>
          <w:b/>
          <w:lang w:val="en-US"/>
        </w:rPr>
      </w:r>
      <w:r>
        <w:rPr>
          <w:b/>
          <w:lang w:val="en-US"/>
        </w:rPr>
        <w:fldChar w:fldCharType="separate"/>
      </w:r>
      <w:r>
        <w:t> </w:t>
      </w:r>
      <w:r>
        <w:t> </w:t>
      </w:r>
      <w:r>
        <w:t> </w:t>
      </w:r>
      <w:r>
        <w:t> </w:t>
      </w:r>
      <w:r>
        <w:t> </w:t>
      </w:r>
      <w:r>
        <w:rPr>
          <w:lang w:val="en-GB"/>
        </w:rPr>
        <w:fldChar w:fldCharType="end"/>
      </w:r>
      <w:bookmarkEnd w:id="42"/>
      <w:r>
        <w:rPr>
          <w:color w:val="FFFFFF" w:themeColor="background1"/>
        </w:rPr>
        <w:t xml:space="preserve">   }</w:t>
      </w:r>
    </w:p>
    <w:p w14:paraId="70C39F83" w14:textId="77777777" w:rsidR="00E82512" w:rsidRDefault="00E82512" w:rsidP="00407EDF">
      <w:pPr>
        <w:pStyle w:val="GBIndent2"/>
        <w:ind w:left="1843" w:hanging="539"/>
        <w:rPr>
          <w:bCs/>
          <w:lang w:val="es-ES_tradnl"/>
        </w:rPr>
      </w:pPr>
      <w:bookmarkStart w:id="43" w:name="lt_pId056"/>
      <w:r w:rsidRPr="001B2FEF">
        <w:rPr>
          <w:bCs/>
          <w:lang w:val="es-ES_tradnl"/>
        </w:rPr>
        <w:t>1.</w:t>
      </w:r>
      <w:r w:rsidRPr="001B2FEF">
        <w:rPr>
          <w:bCs/>
          <w:i/>
          <w:iCs/>
          <w:lang w:val="es-ES_tradnl"/>
        </w:rPr>
        <w:t>b)</w:t>
      </w:r>
      <w:bookmarkEnd w:id="43"/>
      <w:r w:rsidRPr="001B2FEF">
        <w:rPr>
          <w:bCs/>
          <w:lang w:val="es-ES_tradnl"/>
        </w:rPr>
        <w:tab/>
      </w:r>
      <w:r w:rsidRPr="001B2FEF">
        <w:rPr>
          <w:lang w:val="es-ES_tradnl"/>
        </w:rPr>
        <w:t xml:space="preserve">cualquier dificultad que impida o retrase la ratificación del </w:t>
      </w:r>
      <w:r w:rsidRPr="001B2FEF">
        <w:rPr>
          <w:b/>
          <w:bCs/>
          <w:lang w:val="es-ES_tradnl"/>
        </w:rPr>
        <w:t>Convenio núm. 188</w:t>
      </w:r>
      <w:r w:rsidRPr="001B2FEF">
        <w:rPr>
          <w:bCs/>
          <w:lang w:val="es-ES_tradnl"/>
        </w:rPr>
        <w:t>.</w:t>
      </w:r>
    </w:p>
    <w:p w14:paraId="541426BF" w14:textId="644E56CD" w:rsidR="002F0CDC" w:rsidRPr="001B2FEF" w:rsidRDefault="002F0CDC" w:rsidP="00407EDF">
      <w:pPr>
        <w:pStyle w:val="GBIndent2"/>
        <w:ind w:left="1843" w:hanging="539"/>
        <w:rPr>
          <w:bCs/>
          <w:lang w:val="es-ES_tradnl"/>
        </w:rPr>
      </w:pPr>
      <w:r>
        <w:rPr>
          <w:color w:val="FFFFFF" w:themeColor="background1"/>
        </w:rPr>
        <w:t xml:space="preserve">{   </w:t>
      </w:r>
      <w:r>
        <w:rPr>
          <w:b/>
          <w:lang w:val="en-US"/>
        </w:rPr>
        <w:fldChar w:fldCharType="begin">
          <w:ffData>
            <w:name w:val="Text8"/>
            <w:enabled/>
            <w:calcOnExit w:val="0"/>
            <w:textInput/>
          </w:ffData>
        </w:fldChar>
      </w:r>
      <w:r w:rsidRPr="0005672A">
        <w:rPr>
          <w:b/>
          <w:lang w:val="es-ES_tradnl"/>
        </w:rPr>
        <w:instrText xml:space="preserve"> FORMTEXT </w:instrText>
      </w:r>
      <w:r>
        <w:rPr>
          <w:b/>
          <w:lang w:val="en-US"/>
        </w:rPr>
      </w:r>
      <w:r>
        <w:rPr>
          <w:b/>
          <w:lang w:val="en-US"/>
        </w:rPr>
        <w:fldChar w:fldCharType="separate"/>
      </w:r>
      <w:r>
        <w:t> </w:t>
      </w:r>
      <w:r>
        <w:t> </w:t>
      </w:r>
      <w:r>
        <w:t> </w:t>
      </w:r>
      <w:r>
        <w:t> </w:t>
      </w:r>
      <w:r>
        <w:t> </w:t>
      </w:r>
      <w:r>
        <w:rPr>
          <w:lang w:val="en-GB"/>
        </w:rPr>
        <w:fldChar w:fldCharType="end"/>
      </w:r>
      <w:r>
        <w:rPr>
          <w:color w:val="FFFFFF" w:themeColor="background1"/>
        </w:rPr>
        <w:t xml:space="preserve">   }</w:t>
      </w:r>
    </w:p>
    <w:p w14:paraId="1BCB4720" w14:textId="77777777" w:rsidR="00E82512" w:rsidRPr="001B2FEF" w:rsidRDefault="00E82512" w:rsidP="00972D21">
      <w:pPr>
        <w:pStyle w:val="GBHeading3Indent"/>
        <w:rPr>
          <w:lang w:val="es-ES_tradnl"/>
        </w:rPr>
      </w:pPr>
      <w:bookmarkStart w:id="44" w:name="_Hlk220956693"/>
      <w:r w:rsidRPr="001B2FEF">
        <w:rPr>
          <w:rStyle w:val="Hyperlink"/>
          <w:color w:val="1E2DBE"/>
          <w:u w:val="none"/>
          <w:lang w:val="es-ES_tradnl"/>
        </w:rPr>
        <w:t>II.</w:t>
      </w:r>
      <w:r w:rsidRPr="001B2FEF">
        <w:rPr>
          <w:rStyle w:val="Hyperlink"/>
          <w:color w:val="1E2DBE"/>
          <w:u w:val="none"/>
          <w:lang w:val="es-ES_tradnl"/>
        </w:rPr>
        <w:tab/>
      </w:r>
      <w:hyperlink r:id="rId9" w:history="1">
        <w:bookmarkStart w:id="45" w:name="lt_pId057"/>
        <w:r w:rsidRPr="001B2FEF">
          <w:rPr>
            <w:rStyle w:val="Hyperlink"/>
            <w:color w:val="1E2DBE"/>
            <w:u w:val="none"/>
            <w:lang w:val="es-ES_tradnl"/>
          </w:rPr>
          <w:t>Convenio sobre seguridad e higiene (trabajos portuarios), 1979 (núm. 152)</w:t>
        </w:r>
        <w:bookmarkEnd w:id="45"/>
      </w:hyperlink>
    </w:p>
    <w:p w14:paraId="607444B4" w14:textId="77777777" w:rsidR="00E82512" w:rsidRPr="001B2FEF" w:rsidRDefault="00E82512" w:rsidP="00972D21">
      <w:pPr>
        <w:pStyle w:val="GBParaIndentFirstline"/>
        <w:rPr>
          <w:lang w:val="es-ES_tradnl"/>
        </w:rPr>
      </w:pPr>
      <w:bookmarkStart w:id="46" w:name="lt_pId058"/>
      <w:bookmarkEnd w:id="44"/>
      <w:r w:rsidRPr="001B2FEF">
        <w:rPr>
          <w:lang w:val="es-ES_tradnl"/>
        </w:rPr>
        <w:t xml:space="preserve">El Convenio núm. 152 revisa el Convenio sobre la protección de los cargadores de muelle contra los accidentes (revisado), 1932 (núm. 32), que se considera superado. Constituye el instrumento de la OIT más actualizado sobre la seguridad y salud en el trabajo de los </w:t>
      </w:r>
      <w:r w:rsidRPr="001B2FEF">
        <w:rPr>
          <w:lang w:val="es-ES_tradnl"/>
        </w:rPr>
        <w:lastRenderedPageBreak/>
        <w:t>trabajadores portuarios</w:t>
      </w:r>
      <w:bookmarkStart w:id="47" w:name="lt_pId060"/>
      <w:bookmarkEnd w:id="46"/>
      <w:r w:rsidRPr="001B2FEF">
        <w:rPr>
          <w:lang w:val="es-ES_tradnl"/>
        </w:rPr>
        <w:t>. El Convenio se elaboró con el objetivo de elevar hasta un mínimo aceptable el nivel de seguridad y salud de los trabajos portuarios en todos los puertos del mundo, alcanzar el grado fijado de uniformidad internacional, para lograr que ningún buque se vea obstaculizado al hacer escala en un puerto a causa de marcadas diferencias en los reglamentos nacionales de seguridad o por diferencias de interpretación de estos, y prestar asistencia a los países en desarrollo que tal vez no posean los conocimientos especializados, la experiencia o el asesoramiento de que disponen los grandes países industrializados y marítimos.</w:t>
      </w:r>
      <w:bookmarkEnd w:id="47"/>
      <w:r w:rsidRPr="001B2FEF">
        <w:rPr>
          <w:lang w:val="es-ES_tradnl"/>
        </w:rPr>
        <w:t xml:space="preserve"> </w:t>
      </w:r>
      <w:bookmarkStart w:id="48" w:name="lt_pId061"/>
      <w:r w:rsidRPr="001B2FEF">
        <w:rPr>
          <w:lang w:val="es-ES_tradnl"/>
        </w:rPr>
        <w:t>El ámbito de aplicación de este Convenio abarca la prevención de accidentes del trabajo y enfermedades profesionales a través de medidas legislativas y reglamentarias en materia de infraestructura, operaciones, formación, preparación para situaciones de emergencia y protección de la salud. En definitiva, el Convenio establece que han de proporcionarse y mantenerse adecuadamente lugares, equipos y métodos de trabajo que sean seguros. Con arreglo a este Convenio, los buques, los aparejos de izado y los equipos para la manipulación de la carga deben ser adecuados, someterse a inspecciones periódicas y utilizarse correctamente. El Convenio prevé que se proporcione la información, la formación y el control necesarios para velar por que los trabajos portuarios se lleven a cabo en condiciones de seguridad, y que las normas de seguridad se observen y los equipos de protección se utilicen en la práctica. El Convenio establece asimismo marcos reglamentarios, sistemas de inspección y medidas de observancia con el fin de contribuir a su cumplimiento. Por último, en él se insta a la celebración de consultas y la colaboración estrecha entre todas las partes que intervienen en los trabajos portuarios.</w:t>
      </w:r>
    </w:p>
    <w:p w14:paraId="677CA26D" w14:textId="77777777" w:rsidR="00E82512" w:rsidRPr="001B2FEF" w:rsidRDefault="00E82512" w:rsidP="00972D21">
      <w:pPr>
        <w:pStyle w:val="GBParaIndentFirstline"/>
        <w:rPr>
          <w:lang w:val="es-ES_tradnl"/>
        </w:rPr>
      </w:pPr>
      <w:bookmarkStart w:id="49" w:name="lt_pId067"/>
      <w:bookmarkEnd w:id="48"/>
      <w:r w:rsidRPr="001B2FEF">
        <w:rPr>
          <w:lang w:val="es-ES_tradnl"/>
        </w:rPr>
        <w:t>En su 352.ª reunión (octubre-noviembre de 2024), el Consejo de Administración aprobó las recomendaciones adoptadas por la novena reunión del GTT del MEN</w:t>
      </w:r>
      <w:r w:rsidRPr="001B2FEF">
        <w:rPr>
          <w:rStyle w:val="FootnoteReference"/>
          <w:lang w:val="es-ES_tradnl"/>
        </w:rPr>
        <w:footnoteReference w:id="7"/>
      </w:r>
      <w:r w:rsidRPr="001B2FEF">
        <w:rPr>
          <w:lang w:val="es-ES_tradnl"/>
        </w:rPr>
        <w:t>, incluida la promoción específica de la ratificación y aplicación efectiva del Convenio actualizado núm. 152 en los Estados Miembros en los que el Convenio núm. 32 están vigente en la actualidad</w:t>
      </w:r>
      <w:r w:rsidRPr="001B2FEF">
        <w:rPr>
          <w:rStyle w:val="FootnoteReference"/>
          <w:lang w:val="es-ES_tradnl"/>
        </w:rPr>
        <w:footnoteReference w:id="8"/>
      </w:r>
      <w:r w:rsidRPr="001B2FEF">
        <w:rPr>
          <w:lang w:val="es-ES_tradnl"/>
        </w:rPr>
        <w:t>.</w:t>
      </w:r>
    </w:p>
    <w:p w14:paraId="33702529" w14:textId="77777777" w:rsidR="00E82512" w:rsidRPr="001B2FEF" w:rsidRDefault="00E82512" w:rsidP="00972D21">
      <w:pPr>
        <w:pStyle w:val="GBHeading4"/>
        <w:rPr>
          <w:lang w:val="es-ES_tradnl"/>
        </w:rPr>
      </w:pPr>
      <w:bookmarkStart w:id="50" w:name="lt_pId068"/>
      <w:bookmarkEnd w:id="49"/>
      <w:r w:rsidRPr="001B2FEF">
        <w:rPr>
          <w:lang w:val="es-ES_tradnl"/>
        </w:rPr>
        <w:t>Preguntas sobre el Convenio núm. 152</w:t>
      </w:r>
      <w:bookmarkEnd w:id="50"/>
    </w:p>
    <w:p w14:paraId="704E6F82" w14:textId="15F8CCAF" w:rsidR="00E82512" w:rsidRPr="001B2FEF" w:rsidRDefault="00E82512" w:rsidP="00972D21">
      <w:pPr>
        <w:pStyle w:val="GBIndent1"/>
        <w:rPr>
          <w:lang w:val="es-ES_tradnl"/>
        </w:rPr>
      </w:pPr>
      <w:bookmarkStart w:id="51" w:name="lt_pId070"/>
      <w:r w:rsidRPr="001B2FEF">
        <w:rPr>
          <w:lang w:val="es-ES_tradnl"/>
        </w:rPr>
        <w:t>2.</w:t>
      </w:r>
      <w:r w:rsidRPr="001B2FEF">
        <w:rPr>
          <w:lang w:val="es-ES_tradnl"/>
        </w:rPr>
        <w:tab/>
        <w:t>Si su país no ha ratificado el Convenio núm. 152, sírvase indicar brevemente:</w:t>
      </w:r>
    </w:p>
    <w:p w14:paraId="0C18B15C" w14:textId="77777777" w:rsidR="00E82512" w:rsidRDefault="00E82512" w:rsidP="004D3169">
      <w:pPr>
        <w:pStyle w:val="GBIndent2"/>
        <w:ind w:left="1843" w:hanging="539"/>
        <w:rPr>
          <w:bCs/>
          <w:lang w:val="es-ES_tradnl"/>
        </w:rPr>
      </w:pPr>
      <w:r w:rsidRPr="001B2FEF">
        <w:rPr>
          <w:lang w:val="es-ES_tradnl"/>
        </w:rPr>
        <w:t>2.</w:t>
      </w:r>
      <w:r w:rsidRPr="001B2FEF">
        <w:rPr>
          <w:i/>
          <w:iCs/>
          <w:lang w:val="es-ES_tradnl"/>
        </w:rPr>
        <w:t>a)</w:t>
      </w:r>
      <w:r w:rsidRPr="001B2FEF">
        <w:rPr>
          <w:lang w:val="es-ES_tradnl"/>
        </w:rPr>
        <w:tab/>
        <w:t xml:space="preserve">en qué medida su país se propone poner en ejecución las disposiciones del </w:t>
      </w:r>
      <w:r w:rsidRPr="001B2FEF">
        <w:rPr>
          <w:b/>
          <w:lang w:val="es-ES_tradnl"/>
        </w:rPr>
        <w:t>Convenio núm. 152</w:t>
      </w:r>
      <w:bookmarkEnd w:id="51"/>
      <w:r w:rsidRPr="001B2FEF">
        <w:rPr>
          <w:bCs/>
          <w:lang w:val="es-ES_tradnl"/>
        </w:rPr>
        <w:t>;</w:t>
      </w:r>
    </w:p>
    <w:p w14:paraId="6A147503" w14:textId="59514D1A" w:rsidR="002F0CDC" w:rsidRPr="001B2FEF" w:rsidRDefault="002F0CDC" w:rsidP="004D3169">
      <w:pPr>
        <w:pStyle w:val="GBIndent2"/>
        <w:ind w:left="1843" w:hanging="539"/>
        <w:rPr>
          <w:bCs/>
          <w:lang w:val="es-ES_tradnl"/>
        </w:rPr>
      </w:pPr>
      <w:r>
        <w:rPr>
          <w:color w:val="FFFFFF" w:themeColor="background1"/>
        </w:rPr>
        <w:t xml:space="preserve">{   </w:t>
      </w:r>
      <w:r>
        <w:rPr>
          <w:b/>
          <w:lang w:val="en-US"/>
        </w:rPr>
        <w:fldChar w:fldCharType="begin">
          <w:ffData>
            <w:name w:val="Text8"/>
            <w:enabled/>
            <w:calcOnExit w:val="0"/>
            <w:textInput/>
          </w:ffData>
        </w:fldChar>
      </w:r>
      <w:r w:rsidRPr="0005672A">
        <w:rPr>
          <w:b/>
          <w:lang w:val="es-ES_tradnl"/>
        </w:rPr>
        <w:instrText xml:space="preserve"> FORMTEXT </w:instrText>
      </w:r>
      <w:r>
        <w:rPr>
          <w:b/>
          <w:lang w:val="en-US"/>
        </w:rPr>
      </w:r>
      <w:r>
        <w:rPr>
          <w:b/>
          <w:lang w:val="en-US"/>
        </w:rPr>
        <w:fldChar w:fldCharType="separate"/>
      </w:r>
      <w:r>
        <w:t> </w:t>
      </w:r>
      <w:r>
        <w:t> </w:t>
      </w:r>
      <w:r>
        <w:t> </w:t>
      </w:r>
      <w:r>
        <w:t> </w:t>
      </w:r>
      <w:r>
        <w:t> </w:t>
      </w:r>
      <w:r>
        <w:rPr>
          <w:lang w:val="en-GB"/>
        </w:rPr>
        <w:fldChar w:fldCharType="end"/>
      </w:r>
      <w:r>
        <w:rPr>
          <w:color w:val="FFFFFF" w:themeColor="background1"/>
        </w:rPr>
        <w:t xml:space="preserve">   }</w:t>
      </w:r>
    </w:p>
    <w:p w14:paraId="2A58D5E3" w14:textId="77777777" w:rsidR="00E82512" w:rsidRDefault="00E82512" w:rsidP="004D3169">
      <w:pPr>
        <w:pStyle w:val="GBIndent2"/>
        <w:ind w:left="1843" w:hanging="539"/>
        <w:rPr>
          <w:lang w:val="es-ES_tradnl"/>
        </w:rPr>
      </w:pPr>
      <w:bookmarkStart w:id="52" w:name="lt_pId071"/>
      <w:r w:rsidRPr="001B2FEF">
        <w:rPr>
          <w:lang w:val="es-ES_tradnl"/>
        </w:rPr>
        <w:t>2.</w:t>
      </w:r>
      <w:r w:rsidRPr="001B2FEF">
        <w:rPr>
          <w:i/>
          <w:iCs/>
          <w:lang w:val="es-ES_tradnl"/>
        </w:rPr>
        <w:t>b)</w:t>
      </w:r>
      <w:bookmarkEnd w:id="52"/>
      <w:r w:rsidRPr="001B2FEF">
        <w:rPr>
          <w:lang w:val="es-ES_tradnl"/>
        </w:rPr>
        <w:tab/>
        <w:t xml:space="preserve">cualquier dificultad que impida o retrase la ratificación del </w:t>
      </w:r>
      <w:r w:rsidRPr="001B2FEF">
        <w:rPr>
          <w:b/>
          <w:bCs/>
          <w:lang w:val="es-ES_tradnl"/>
        </w:rPr>
        <w:t>Convenio núm. 152</w:t>
      </w:r>
      <w:r w:rsidRPr="001B2FEF">
        <w:rPr>
          <w:lang w:val="es-ES_tradnl"/>
        </w:rPr>
        <w:t>.</w:t>
      </w:r>
    </w:p>
    <w:p w14:paraId="603F4C75" w14:textId="7C05446B" w:rsidR="002F0CDC" w:rsidRPr="001B2FEF" w:rsidRDefault="002F0CDC" w:rsidP="004D3169">
      <w:pPr>
        <w:pStyle w:val="GBIndent2"/>
        <w:ind w:left="1843" w:hanging="539"/>
        <w:rPr>
          <w:lang w:val="es-ES_tradnl"/>
        </w:rPr>
      </w:pPr>
      <w:r>
        <w:rPr>
          <w:color w:val="FFFFFF" w:themeColor="background1"/>
        </w:rPr>
        <w:t xml:space="preserve">{   </w:t>
      </w:r>
      <w:r>
        <w:rPr>
          <w:b/>
          <w:lang w:val="en-US"/>
        </w:rPr>
        <w:fldChar w:fldCharType="begin">
          <w:ffData>
            <w:name w:val="Text8"/>
            <w:enabled/>
            <w:calcOnExit w:val="0"/>
            <w:textInput/>
          </w:ffData>
        </w:fldChar>
      </w:r>
      <w:r w:rsidRPr="0005672A">
        <w:rPr>
          <w:b/>
          <w:lang w:val="es-ES_tradnl"/>
        </w:rPr>
        <w:instrText xml:space="preserve"> FORMTEXT </w:instrText>
      </w:r>
      <w:r>
        <w:rPr>
          <w:b/>
          <w:lang w:val="en-US"/>
        </w:rPr>
      </w:r>
      <w:r>
        <w:rPr>
          <w:b/>
          <w:lang w:val="en-US"/>
        </w:rPr>
        <w:fldChar w:fldCharType="separate"/>
      </w:r>
      <w:r>
        <w:t> </w:t>
      </w:r>
      <w:r>
        <w:t> </w:t>
      </w:r>
      <w:r>
        <w:t> </w:t>
      </w:r>
      <w:r>
        <w:t> </w:t>
      </w:r>
      <w:r>
        <w:t> </w:t>
      </w:r>
      <w:r>
        <w:rPr>
          <w:lang w:val="en-GB"/>
        </w:rPr>
        <w:fldChar w:fldCharType="end"/>
      </w:r>
      <w:r>
        <w:rPr>
          <w:color w:val="FFFFFF" w:themeColor="background1"/>
        </w:rPr>
        <w:t xml:space="preserve">   }</w:t>
      </w:r>
    </w:p>
    <w:p w14:paraId="2D123989" w14:textId="77777777" w:rsidR="00E82512" w:rsidRPr="001B2FEF" w:rsidRDefault="00E82512" w:rsidP="00972D21">
      <w:pPr>
        <w:pStyle w:val="GBHeading3Indent"/>
        <w:rPr>
          <w:lang w:val="es-ES_tradnl"/>
        </w:rPr>
      </w:pPr>
      <w:r w:rsidRPr="001B2FEF">
        <w:rPr>
          <w:lang w:val="es-ES_tradnl"/>
        </w:rPr>
        <w:t>III.</w:t>
      </w:r>
      <w:r w:rsidRPr="001B2FEF">
        <w:rPr>
          <w:lang w:val="es-ES_tradnl"/>
        </w:rPr>
        <w:tab/>
      </w:r>
      <w:hyperlink r:id="rId10" w:history="1">
        <w:bookmarkStart w:id="53" w:name="lt_pId072"/>
        <w:r w:rsidRPr="001B2FEF">
          <w:rPr>
            <w:rStyle w:val="Hyperlink"/>
            <w:color w:val="1E2DBE"/>
            <w:u w:val="none"/>
            <w:lang w:val="es-ES_tradnl"/>
          </w:rPr>
          <w:t>Convenio sobre pueblos indígenas y tribales, 1989 (núm. 169)</w:t>
        </w:r>
        <w:bookmarkEnd w:id="53"/>
      </w:hyperlink>
    </w:p>
    <w:p w14:paraId="2F360EF8" w14:textId="77777777" w:rsidR="00E82512" w:rsidRPr="001B2FEF" w:rsidRDefault="00E82512" w:rsidP="00972D21">
      <w:pPr>
        <w:pStyle w:val="GBParaIndentFirstline"/>
        <w:rPr>
          <w:lang w:val="es-ES_tradnl"/>
        </w:rPr>
      </w:pPr>
      <w:bookmarkStart w:id="54" w:name="lt_pId073"/>
      <w:r w:rsidRPr="001B2FEF">
        <w:rPr>
          <w:lang w:val="es-ES_tradnl"/>
        </w:rPr>
        <w:t xml:space="preserve">El Convenio núm. 169 revisa el Convenio sobre poblaciones indígenas y tribuales, 1957 (núm. 107), que se considera superado. </w:t>
      </w:r>
      <w:bookmarkStart w:id="55" w:name="lt_pId074"/>
      <w:bookmarkEnd w:id="54"/>
      <w:r w:rsidRPr="001B2FEF">
        <w:rPr>
          <w:lang w:val="es-ES_tradnl"/>
        </w:rPr>
        <w:t>Es el instrumento de la OIT más actualizado sobre los derechos de los pueblos indígenas y tribales, y se basa en un enfoque normativo que difiere del enfoque adoptado en los instrumentos anteriores.</w:t>
      </w:r>
      <w:bookmarkEnd w:id="55"/>
      <w:r w:rsidRPr="001B2FEF">
        <w:rPr>
          <w:lang w:val="es-ES_tradnl"/>
        </w:rPr>
        <w:t xml:space="preserve"> </w:t>
      </w:r>
      <w:bookmarkStart w:id="56" w:name="lt_pId075"/>
      <w:r w:rsidRPr="001B2FEF">
        <w:rPr>
          <w:lang w:val="es-ES_tradnl"/>
        </w:rPr>
        <w:t>En el Convenio núm. 169, la protección de los derechos de los pueblos indígenas y tribales se concibe desde una perspectiva integral, basada en el reconocimiento de las aspiraciones de estos pueblos a controlar sus instituciones, sus formas de vida y su desarrollo económico, así como en el respeto de sus culturas.</w:t>
      </w:r>
      <w:bookmarkEnd w:id="56"/>
      <w:r w:rsidRPr="001B2FEF">
        <w:rPr>
          <w:lang w:val="es-ES_tradnl"/>
        </w:rPr>
        <w:t xml:space="preserve"> </w:t>
      </w:r>
      <w:bookmarkStart w:id="57" w:name="lt_pId076"/>
      <w:r w:rsidRPr="001B2FEF">
        <w:rPr>
          <w:lang w:val="es-ES_tradnl"/>
        </w:rPr>
        <w:t xml:space="preserve">El Convenio reconoce que la conciencia de la identidad es un criterio fundamental para </w:t>
      </w:r>
      <w:r w:rsidRPr="001B2FEF">
        <w:rPr>
          <w:lang w:val="es-ES_tradnl"/>
        </w:rPr>
        <w:lastRenderedPageBreak/>
        <w:t>determinar los pueblos protegidos e impone a los Gobiernos la obligación de desarrollar una acción coordinada y sistemática con miras a proteger los derechos y la integridad de los pueblos indígenas y tribales.</w:t>
      </w:r>
      <w:bookmarkEnd w:id="57"/>
      <w:r w:rsidRPr="001B2FEF">
        <w:rPr>
          <w:lang w:val="es-ES_tradnl"/>
        </w:rPr>
        <w:t xml:space="preserve"> </w:t>
      </w:r>
      <w:bookmarkStart w:id="58" w:name="lt_pId077"/>
      <w:r w:rsidRPr="001B2FEF">
        <w:rPr>
          <w:lang w:val="es-ES_tradnl"/>
        </w:rPr>
        <w:t>El Convenio consagra el derecho de estos pueblos a que se les consulte, con el fin de garantizar su participación plena en la adopción de las decisiones que puedan afectarles, así como en la formulación, aplicación y evaluación de los planes y programas de desarrollo nacional y regional susceptibles de afectarles.</w:t>
      </w:r>
      <w:bookmarkEnd w:id="58"/>
      <w:r w:rsidRPr="001B2FEF">
        <w:rPr>
          <w:lang w:val="es-ES_tradnl"/>
        </w:rPr>
        <w:t xml:space="preserve"> Asimismo, el Convenio reconoce el valor espiritual y cultural que los pueblos indígenas atribuyen a la tierra y el derecho de propiedad y de posesión de estos sobre las tierras que tradicionalmente ocupan. En el Convenio se insta a la adopción de una amplia variedad de medidas relacionadas con el empleo y la formación profesional, la educación, la salud y la seguridad social, el derecho consuetudinario, las instituciones tradicionales, las lenguas y las creencias religiosas de los pueblos indígenas y tribales, así con la cooperación de estos pueblos a través de las fronteras.</w:t>
      </w:r>
    </w:p>
    <w:p w14:paraId="47E8FD89" w14:textId="77777777" w:rsidR="00E82512" w:rsidRPr="001B2FEF" w:rsidRDefault="00E82512" w:rsidP="00972D21">
      <w:pPr>
        <w:pStyle w:val="GBParaIndentFirstline"/>
        <w:rPr>
          <w:lang w:val="es-ES_tradnl"/>
        </w:rPr>
      </w:pPr>
      <w:bookmarkStart w:id="59" w:name="lt_pId080"/>
      <w:r w:rsidRPr="001B2FEF">
        <w:rPr>
          <w:lang w:val="es-ES_tradnl"/>
        </w:rPr>
        <w:t>En su 352.ª reunión (octubre-noviembre de 2024), el Consejo de Administración aprobó las recomendaciones adoptadas por la novena reunión del GTT del MEN</w:t>
      </w:r>
      <w:r w:rsidRPr="001B2FEF">
        <w:rPr>
          <w:rStyle w:val="FootnoteReference"/>
          <w:lang w:val="es-ES_tradnl"/>
        </w:rPr>
        <w:footnoteReference w:id="9"/>
      </w:r>
      <w:r w:rsidRPr="001B2FEF">
        <w:rPr>
          <w:lang w:val="es-ES_tradnl"/>
        </w:rPr>
        <w:t>, incluida la promoción específica de la ratificación y aplicación efectiva del Convenio actualizado núm. 169 en los Estados Miembros en los que el Convenio superado núm. 107 está vigente en la actualidad</w:t>
      </w:r>
      <w:r w:rsidRPr="001B2FEF">
        <w:rPr>
          <w:rStyle w:val="FootnoteReference"/>
          <w:lang w:val="es-ES_tradnl"/>
        </w:rPr>
        <w:footnoteReference w:id="10"/>
      </w:r>
      <w:r w:rsidRPr="001B2FEF">
        <w:rPr>
          <w:lang w:val="es-ES_tradnl"/>
        </w:rPr>
        <w:t>.</w:t>
      </w:r>
    </w:p>
    <w:p w14:paraId="50534883" w14:textId="77777777" w:rsidR="00E82512" w:rsidRPr="001B2FEF" w:rsidRDefault="00E82512" w:rsidP="00972D21">
      <w:pPr>
        <w:pStyle w:val="GBHeading4"/>
        <w:rPr>
          <w:lang w:val="es-ES_tradnl"/>
        </w:rPr>
      </w:pPr>
      <w:bookmarkStart w:id="60" w:name="lt_pId081"/>
      <w:bookmarkEnd w:id="59"/>
      <w:r w:rsidRPr="001B2FEF">
        <w:rPr>
          <w:lang w:val="es-ES_tradnl"/>
        </w:rPr>
        <w:t>Preguntas sobre el Convenio núm. 169</w:t>
      </w:r>
      <w:bookmarkEnd w:id="60"/>
    </w:p>
    <w:p w14:paraId="261197F7" w14:textId="77777777" w:rsidR="00E82512" w:rsidRPr="001B2FEF" w:rsidRDefault="00E82512" w:rsidP="00972D21">
      <w:pPr>
        <w:pStyle w:val="GBIndent1"/>
        <w:rPr>
          <w:lang w:val="es-ES_tradnl"/>
        </w:rPr>
      </w:pPr>
      <w:bookmarkStart w:id="61" w:name="lt_pId082"/>
      <w:r w:rsidRPr="001B2FEF">
        <w:rPr>
          <w:lang w:val="es-ES_tradnl"/>
        </w:rPr>
        <w:t>3.</w:t>
      </w:r>
      <w:r w:rsidRPr="001B2FEF">
        <w:rPr>
          <w:lang w:val="es-ES_tradnl"/>
        </w:rPr>
        <w:tab/>
        <w:t>Si su país no ha ratificado el Convenio núm. 169, sírvase indicar brevemente:</w:t>
      </w:r>
    </w:p>
    <w:p w14:paraId="0BFFB86C" w14:textId="77777777" w:rsidR="00E82512" w:rsidRDefault="00E82512" w:rsidP="004D3169">
      <w:pPr>
        <w:pStyle w:val="GBIndent2"/>
        <w:ind w:left="1843" w:hanging="539"/>
        <w:rPr>
          <w:lang w:val="es-ES_tradnl"/>
        </w:rPr>
      </w:pPr>
      <w:bookmarkStart w:id="62" w:name="lt_pId083"/>
      <w:bookmarkEnd w:id="61"/>
      <w:r w:rsidRPr="001B2FEF">
        <w:rPr>
          <w:lang w:val="es-ES_tradnl"/>
        </w:rPr>
        <w:t>3.</w:t>
      </w:r>
      <w:r w:rsidRPr="001B2FEF">
        <w:rPr>
          <w:i/>
          <w:iCs/>
          <w:lang w:val="es-ES_tradnl"/>
        </w:rPr>
        <w:t>a)</w:t>
      </w:r>
      <w:r w:rsidRPr="001B2FEF">
        <w:rPr>
          <w:lang w:val="es-ES_tradnl"/>
        </w:rPr>
        <w:tab/>
        <w:t xml:space="preserve">en qué medida su país se propone poner en ejecución las disposiciones del </w:t>
      </w:r>
      <w:bookmarkStart w:id="63" w:name="lt_pId084"/>
      <w:bookmarkEnd w:id="62"/>
      <w:r w:rsidRPr="001B2FEF">
        <w:rPr>
          <w:b/>
          <w:bCs/>
          <w:lang w:val="es-ES_tradnl"/>
        </w:rPr>
        <w:t>Convenio núm. 169</w:t>
      </w:r>
      <w:r w:rsidRPr="001B2FEF">
        <w:rPr>
          <w:lang w:val="es-ES_tradnl"/>
        </w:rPr>
        <w:t>;</w:t>
      </w:r>
    </w:p>
    <w:p w14:paraId="2F8291C5" w14:textId="65464202" w:rsidR="002F0CDC" w:rsidRPr="001B2FEF" w:rsidRDefault="002F0CDC" w:rsidP="004D3169">
      <w:pPr>
        <w:pStyle w:val="GBIndent2"/>
        <w:ind w:left="1843" w:hanging="539"/>
        <w:rPr>
          <w:b/>
          <w:bCs/>
          <w:lang w:val="es-ES_tradnl"/>
        </w:rPr>
      </w:pPr>
      <w:r>
        <w:rPr>
          <w:color w:val="FFFFFF" w:themeColor="background1"/>
        </w:rPr>
        <w:t xml:space="preserve">{   </w:t>
      </w:r>
      <w:r>
        <w:rPr>
          <w:b/>
          <w:lang w:val="en-US"/>
        </w:rPr>
        <w:fldChar w:fldCharType="begin">
          <w:ffData>
            <w:name w:val="Text8"/>
            <w:enabled/>
            <w:calcOnExit w:val="0"/>
            <w:textInput/>
          </w:ffData>
        </w:fldChar>
      </w:r>
      <w:r w:rsidRPr="0005672A">
        <w:rPr>
          <w:b/>
          <w:lang w:val="es-ES_tradnl"/>
        </w:rPr>
        <w:instrText xml:space="preserve"> FORMTEXT </w:instrText>
      </w:r>
      <w:r>
        <w:rPr>
          <w:b/>
          <w:lang w:val="en-US"/>
        </w:rPr>
      </w:r>
      <w:r>
        <w:rPr>
          <w:b/>
          <w:lang w:val="en-US"/>
        </w:rPr>
        <w:fldChar w:fldCharType="separate"/>
      </w:r>
      <w:r>
        <w:t> </w:t>
      </w:r>
      <w:r>
        <w:t> </w:t>
      </w:r>
      <w:r>
        <w:t> </w:t>
      </w:r>
      <w:r>
        <w:t> </w:t>
      </w:r>
      <w:r>
        <w:t> </w:t>
      </w:r>
      <w:r>
        <w:rPr>
          <w:lang w:val="en-GB"/>
        </w:rPr>
        <w:fldChar w:fldCharType="end"/>
      </w:r>
      <w:r>
        <w:rPr>
          <w:color w:val="FFFFFF" w:themeColor="background1"/>
        </w:rPr>
        <w:t xml:space="preserve">   }</w:t>
      </w:r>
    </w:p>
    <w:p w14:paraId="6C52CAF8" w14:textId="77777777" w:rsidR="00E82512" w:rsidRDefault="00E82512" w:rsidP="004D3169">
      <w:pPr>
        <w:pStyle w:val="GBIndent2"/>
        <w:ind w:left="1843" w:hanging="539"/>
        <w:rPr>
          <w:lang w:val="es-ES_tradnl"/>
        </w:rPr>
      </w:pPr>
      <w:r w:rsidRPr="001B2FEF">
        <w:rPr>
          <w:bCs/>
          <w:lang w:val="es-ES_tradnl"/>
        </w:rPr>
        <w:t>3.</w:t>
      </w:r>
      <w:r w:rsidRPr="001B2FEF">
        <w:rPr>
          <w:bCs/>
          <w:i/>
          <w:iCs/>
          <w:lang w:val="es-ES_tradnl"/>
        </w:rPr>
        <w:t>b)</w:t>
      </w:r>
      <w:r w:rsidRPr="001B2FEF">
        <w:rPr>
          <w:bCs/>
          <w:lang w:val="es-ES_tradnl"/>
        </w:rPr>
        <w:tab/>
      </w:r>
      <w:r w:rsidRPr="001B2FEF">
        <w:rPr>
          <w:lang w:val="es-ES_tradnl"/>
        </w:rPr>
        <w:t xml:space="preserve">cualquier dificultad que impida o retrase la ratificación del </w:t>
      </w:r>
      <w:r w:rsidRPr="001B2FEF">
        <w:rPr>
          <w:b/>
          <w:bCs/>
          <w:lang w:val="es-ES_tradnl"/>
        </w:rPr>
        <w:t>Convenio núm. 169</w:t>
      </w:r>
      <w:r w:rsidRPr="001B2FEF">
        <w:rPr>
          <w:lang w:val="es-ES_tradnl"/>
        </w:rPr>
        <w:t>.</w:t>
      </w:r>
    </w:p>
    <w:p w14:paraId="54BAE570" w14:textId="695757EC" w:rsidR="002F0CDC" w:rsidRPr="001B2FEF" w:rsidRDefault="002F0CDC" w:rsidP="004D3169">
      <w:pPr>
        <w:pStyle w:val="GBIndent2"/>
        <w:ind w:left="1843" w:hanging="539"/>
        <w:rPr>
          <w:lang w:val="es-ES_tradnl"/>
        </w:rPr>
      </w:pPr>
      <w:r>
        <w:rPr>
          <w:color w:val="FFFFFF" w:themeColor="background1"/>
        </w:rPr>
        <w:t xml:space="preserve">{   </w:t>
      </w:r>
      <w:r>
        <w:rPr>
          <w:b/>
          <w:lang w:val="en-US"/>
        </w:rPr>
        <w:fldChar w:fldCharType="begin">
          <w:ffData>
            <w:name w:val="Text8"/>
            <w:enabled/>
            <w:calcOnExit w:val="0"/>
            <w:textInput/>
          </w:ffData>
        </w:fldChar>
      </w:r>
      <w:r w:rsidRPr="0005672A">
        <w:rPr>
          <w:b/>
          <w:lang w:val="es-ES_tradnl"/>
        </w:rPr>
        <w:instrText xml:space="preserve"> FORMTEXT </w:instrText>
      </w:r>
      <w:r>
        <w:rPr>
          <w:b/>
          <w:lang w:val="en-US"/>
        </w:rPr>
      </w:r>
      <w:r>
        <w:rPr>
          <w:b/>
          <w:lang w:val="en-US"/>
        </w:rPr>
        <w:fldChar w:fldCharType="separate"/>
      </w:r>
      <w:r>
        <w:t> </w:t>
      </w:r>
      <w:r>
        <w:t> </w:t>
      </w:r>
      <w:r>
        <w:t> </w:t>
      </w:r>
      <w:r>
        <w:t> </w:t>
      </w:r>
      <w:r>
        <w:t> </w:t>
      </w:r>
      <w:r>
        <w:rPr>
          <w:lang w:val="en-GB"/>
        </w:rPr>
        <w:fldChar w:fldCharType="end"/>
      </w:r>
      <w:r>
        <w:rPr>
          <w:color w:val="FFFFFF" w:themeColor="background1"/>
        </w:rPr>
        <w:t xml:space="preserve">   }</w:t>
      </w:r>
    </w:p>
    <w:bookmarkEnd w:id="63"/>
    <w:p w14:paraId="3F416DBA" w14:textId="77777777" w:rsidR="00E82512" w:rsidRPr="001B2FEF" w:rsidRDefault="00E82512" w:rsidP="00972D21">
      <w:pPr>
        <w:pStyle w:val="GBHeading3Indent"/>
        <w:rPr>
          <w:lang w:val="es-ES_tradnl"/>
        </w:rPr>
      </w:pPr>
      <w:r w:rsidRPr="001B2FEF">
        <w:rPr>
          <w:lang w:val="es-ES_tradnl"/>
        </w:rPr>
        <w:t>IV.</w:t>
      </w:r>
      <w:r w:rsidRPr="001B2FEF">
        <w:rPr>
          <w:lang w:val="es-ES_tradnl"/>
        </w:rPr>
        <w:tab/>
      </w:r>
      <w:hyperlink r:id="rId11" w:history="1">
        <w:bookmarkStart w:id="64" w:name="lt_pId085"/>
        <w:r w:rsidRPr="001B2FEF">
          <w:rPr>
            <w:rStyle w:val="Hyperlink"/>
            <w:color w:val="1E2DBE"/>
            <w:u w:val="none"/>
            <w:lang w:val="es-ES_tradnl"/>
          </w:rPr>
          <w:t>Convenio sobre la protección de la maternidad, 2000 (núm. 183)</w:t>
        </w:r>
        <w:bookmarkEnd w:id="64"/>
      </w:hyperlink>
    </w:p>
    <w:p w14:paraId="4C1B461F" w14:textId="77777777" w:rsidR="00E82512" w:rsidRPr="001B2FEF" w:rsidRDefault="00E82512" w:rsidP="00972D21">
      <w:pPr>
        <w:pStyle w:val="GBParaIndentFirstline"/>
        <w:rPr>
          <w:lang w:val="es-ES_tradnl"/>
        </w:rPr>
      </w:pPr>
      <w:bookmarkStart w:id="65" w:name="lt_pId086"/>
      <w:r w:rsidRPr="001B2FEF">
        <w:rPr>
          <w:lang w:val="es-ES_tradnl"/>
        </w:rPr>
        <w:t>El Convenio núm. 183 es el convenio más actualizado en materia de protección de la maternidad y revisa el Convenio sobre la protección de la maternidad (revisado), 1952 (núm. 103), que se considera superado. Establece una licencia de maternidad remunerada de una duración de 14 semanas, la prestación de atención médica materna, la protección de la salud para las mujeres embarazadas o lactantes, la protección del empleo y la prohibición de la discriminación por motivos de maternidad, así como medidas relativas a la lactancia.</w:t>
      </w:r>
      <w:bookmarkStart w:id="66" w:name="lt_pId088"/>
      <w:bookmarkEnd w:id="65"/>
      <w:r w:rsidRPr="001B2FEF">
        <w:rPr>
          <w:lang w:val="es-ES_tradnl"/>
        </w:rPr>
        <w:t xml:space="preserve"> El Convenio num. 183 se aplica a todas las mujeres empleadas, incluidas las que desempeñan formas atípicas de trabajo dependiente.</w:t>
      </w:r>
      <w:bookmarkEnd w:id="66"/>
      <w:r w:rsidRPr="001B2FEF">
        <w:rPr>
          <w:lang w:val="es-ES_tradnl"/>
        </w:rPr>
        <w:t xml:space="preserve"> </w:t>
      </w:r>
      <w:bookmarkStart w:id="67" w:name="lt_pId089"/>
      <w:r w:rsidRPr="001B2FEF">
        <w:rPr>
          <w:lang w:val="es-ES_tradnl"/>
        </w:rPr>
        <w:t>En relación con los instrumentos anteriores, limita las posibles exclusiones; incluye nuevas protecciones relativas a la salud y la no discriminación; amplía el periodo mínimo de la licencia de maternidad remunerada; e introduce una flexibilidad limitada en el establecimiento del periodo mínimo obligatorio de licencia posnatal; incluye cambios en las disposiciones relativas a las prestaciones, y amplía el periodo de protección contra el despido.</w:t>
      </w:r>
      <w:bookmarkEnd w:id="67"/>
    </w:p>
    <w:p w14:paraId="4D5DED06" w14:textId="77777777" w:rsidR="00E82512" w:rsidRPr="001B2FEF" w:rsidRDefault="00E82512" w:rsidP="00972D21">
      <w:pPr>
        <w:pStyle w:val="GBParaIndentFirstline"/>
        <w:rPr>
          <w:spacing w:val="-2"/>
          <w:lang w:val="es-ES_tradnl"/>
        </w:rPr>
      </w:pPr>
      <w:bookmarkStart w:id="68" w:name="lt_pId090"/>
      <w:r w:rsidRPr="001B2FEF">
        <w:rPr>
          <w:spacing w:val="-2"/>
          <w:lang w:val="es-ES_tradnl"/>
        </w:rPr>
        <w:lastRenderedPageBreak/>
        <w:t>En su 349.ª reunión (octubre-noviembre de 2023), el Consejo de Administración aprobó las recomendaciones adoptadas por la octava reunión del GTT del MEN</w:t>
      </w:r>
      <w:r w:rsidRPr="001B2FEF">
        <w:rPr>
          <w:rStyle w:val="FootnoteReference"/>
          <w:spacing w:val="-2"/>
          <w:lang w:val="es-ES_tradnl"/>
        </w:rPr>
        <w:footnoteReference w:id="11"/>
      </w:r>
      <w:r w:rsidRPr="001B2FEF">
        <w:rPr>
          <w:spacing w:val="-2"/>
          <w:lang w:val="es-ES_tradnl"/>
        </w:rPr>
        <w:t>, incluida la promoción específica de la ratificación y aplicación efectiva del Convenio actualizado núm. 183 en los Estados Miembros en los que los Convenios superados núms. 3 y 103 están vigentes en la actualidad</w:t>
      </w:r>
      <w:r w:rsidRPr="001B2FEF">
        <w:rPr>
          <w:rStyle w:val="FootnoteReference"/>
          <w:spacing w:val="-2"/>
          <w:lang w:val="es-ES_tradnl"/>
        </w:rPr>
        <w:footnoteReference w:id="12"/>
      </w:r>
      <w:r w:rsidRPr="001B2FEF">
        <w:rPr>
          <w:spacing w:val="-2"/>
          <w:lang w:val="es-ES_tradnl"/>
        </w:rPr>
        <w:t>.</w:t>
      </w:r>
    </w:p>
    <w:p w14:paraId="275AF040" w14:textId="77777777" w:rsidR="00E82512" w:rsidRPr="001B2FEF" w:rsidRDefault="00E82512" w:rsidP="00972D21">
      <w:pPr>
        <w:pStyle w:val="GBHeading4"/>
        <w:rPr>
          <w:lang w:val="es-ES_tradnl"/>
        </w:rPr>
      </w:pPr>
      <w:bookmarkStart w:id="69" w:name="lt_pId091"/>
      <w:bookmarkEnd w:id="68"/>
      <w:r w:rsidRPr="001B2FEF">
        <w:rPr>
          <w:lang w:val="es-ES_tradnl"/>
        </w:rPr>
        <w:t>Preguntas sobre el Convenio núm. 183</w:t>
      </w:r>
      <w:bookmarkEnd w:id="69"/>
    </w:p>
    <w:p w14:paraId="66BF7E65" w14:textId="77777777" w:rsidR="00E82512" w:rsidRPr="001B2FEF" w:rsidRDefault="00E82512" w:rsidP="00972D21">
      <w:pPr>
        <w:pStyle w:val="GBIndent1"/>
        <w:rPr>
          <w:lang w:val="es-ES_tradnl"/>
        </w:rPr>
      </w:pPr>
      <w:bookmarkStart w:id="70" w:name="lt_pId093"/>
      <w:r w:rsidRPr="001B2FEF">
        <w:rPr>
          <w:lang w:val="es-ES_tradnl"/>
        </w:rPr>
        <w:t>4.</w:t>
      </w:r>
      <w:r w:rsidRPr="001B2FEF">
        <w:rPr>
          <w:lang w:val="es-ES_tradnl"/>
        </w:rPr>
        <w:tab/>
        <w:t xml:space="preserve">Si su país no ha ratificado el Convenio núm. 183, sírvase indicar brevemente: </w:t>
      </w:r>
    </w:p>
    <w:p w14:paraId="5B60DCE7" w14:textId="77777777" w:rsidR="00E82512" w:rsidRDefault="00E82512" w:rsidP="004D3169">
      <w:pPr>
        <w:pStyle w:val="GBIndent2"/>
        <w:ind w:left="1843" w:hanging="539"/>
        <w:rPr>
          <w:lang w:val="es-ES_tradnl"/>
        </w:rPr>
      </w:pPr>
      <w:r w:rsidRPr="001B2FEF">
        <w:rPr>
          <w:lang w:val="es-ES_tradnl"/>
        </w:rPr>
        <w:t>4.</w:t>
      </w:r>
      <w:r w:rsidRPr="001B2FEF">
        <w:rPr>
          <w:i/>
          <w:iCs/>
          <w:lang w:val="es-ES_tradnl"/>
        </w:rPr>
        <w:t>a)</w:t>
      </w:r>
      <w:r w:rsidRPr="001B2FEF">
        <w:rPr>
          <w:lang w:val="es-ES_tradnl"/>
        </w:rPr>
        <w:tab/>
        <w:t xml:space="preserve">en qué medida su país se propone poner en ejecución las disposiciones del </w:t>
      </w:r>
      <w:bookmarkStart w:id="71" w:name="lt_pId094"/>
      <w:bookmarkEnd w:id="70"/>
      <w:r w:rsidRPr="001B2FEF">
        <w:rPr>
          <w:b/>
          <w:bCs/>
          <w:lang w:val="es-ES_tradnl"/>
        </w:rPr>
        <w:t>Convenio núm. 183</w:t>
      </w:r>
      <w:r w:rsidRPr="001B2FEF">
        <w:rPr>
          <w:lang w:val="es-ES_tradnl"/>
        </w:rPr>
        <w:t>;</w:t>
      </w:r>
    </w:p>
    <w:p w14:paraId="2F333C68" w14:textId="7EBEA729" w:rsidR="002F0CDC" w:rsidRPr="001B2FEF" w:rsidRDefault="002F0CDC" w:rsidP="004D3169">
      <w:pPr>
        <w:pStyle w:val="GBIndent2"/>
        <w:ind w:left="1843" w:hanging="539"/>
        <w:rPr>
          <w:lang w:val="es-ES_tradnl"/>
        </w:rPr>
      </w:pPr>
      <w:r>
        <w:rPr>
          <w:color w:val="FFFFFF" w:themeColor="background1"/>
        </w:rPr>
        <w:t xml:space="preserve">{   </w:t>
      </w:r>
      <w:r>
        <w:rPr>
          <w:b/>
          <w:lang w:val="en-US"/>
        </w:rPr>
        <w:fldChar w:fldCharType="begin">
          <w:ffData>
            <w:name w:val="Text8"/>
            <w:enabled/>
            <w:calcOnExit w:val="0"/>
            <w:textInput/>
          </w:ffData>
        </w:fldChar>
      </w:r>
      <w:r w:rsidRPr="0005672A">
        <w:rPr>
          <w:b/>
          <w:lang w:val="es-ES_tradnl"/>
        </w:rPr>
        <w:instrText xml:space="preserve"> FORMTEXT </w:instrText>
      </w:r>
      <w:r>
        <w:rPr>
          <w:b/>
          <w:lang w:val="en-US"/>
        </w:rPr>
      </w:r>
      <w:r>
        <w:rPr>
          <w:b/>
          <w:lang w:val="en-US"/>
        </w:rPr>
        <w:fldChar w:fldCharType="separate"/>
      </w:r>
      <w:r>
        <w:t> </w:t>
      </w:r>
      <w:r>
        <w:t> </w:t>
      </w:r>
      <w:r>
        <w:t> </w:t>
      </w:r>
      <w:r>
        <w:t> </w:t>
      </w:r>
      <w:r>
        <w:t> </w:t>
      </w:r>
      <w:r>
        <w:rPr>
          <w:lang w:val="en-GB"/>
        </w:rPr>
        <w:fldChar w:fldCharType="end"/>
      </w:r>
      <w:r>
        <w:rPr>
          <w:color w:val="FFFFFF" w:themeColor="background1"/>
        </w:rPr>
        <w:t xml:space="preserve">   }</w:t>
      </w:r>
    </w:p>
    <w:p w14:paraId="2E077F8F" w14:textId="77777777" w:rsidR="00E82512" w:rsidRPr="001B2FEF" w:rsidRDefault="00E82512" w:rsidP="004D3169">
      <w:pPr>
        <w:pStyle w:val="GBIndent2"/>
        <w:ind w:left="1843" w:hanging="539"/>
        <w:rPr>
          <w:lang w:val="es-ES_tradnl"/>
        </w:rPr>
      </w:pPr>
      <w:r w:rsidRPr="001B2FEF">
        <w:rPr>
          <w:lang w:val="es-ES_tradnl"/>
        </w:rPr>
        <w:t>4.</w:t>
      </w:r>
      <w:r w:rsidRPr="001B2FEF">
        <w:rPr>
          <w:i/>
          <w:iCs/>
          <w:lang w:val="es-ES_tradnl"/>
        </w:rPr>
        <w:t>b)</w:t>
      </w:r>
      <w:r w:rsidRPr="001B2FEF">
        <w:rPr>
          <w:lang w:val="es-ES_tradnl"/>
        </w:rPr>
        <w:tab/>
        <w:t xml:space="preserve">cualquier dificultad que impida o retrase la ratificación del </w:t>
      </w:r>
      <w:r w:rsidRPr="001B2FEF">
        <w:rPr>
          <w:b/>
          <w:bCs/>
          <w:lang w:val="es-ES_tradnl"/>
        </w:rPr>
        <w:t>Convenio núm. 183</w:t>
      </w:r>
      <w:r w:rsidRPr="001B2FEF">
        <w:rPr>
          <w:lang w:val="es-ES_tradnl"/>
        </w:rPr>
        <w:t>.</w:t>
      </w:r>
    </w:p>
    <w:tbl>
      <w:tblPr>
        <w:tblW w:w="8789" w:type="dxa"/>
        <w:tblInd w:w="851" w:type="dxa"/>
        <w:tblCellMar>
          <w:top w:w="57" w:type="dxa"/>
          <w:left w:w="57" w:type="dxa"/>
          <w:bottom w:w="57" w:type="dxa"/>
          <w:right w:w="57" w:type="dxa"/>
        </w:tblCellMar>
        <w:tblLook w:val="04A0" w:firstRow="1" w:lastRow="0" w:firstColumn="1" w:lastColumn="0" w:noHBand="0" w:noVBand="1"/>
      </w:tblPr>
      <w:tblGrid>
        <w:gridCol w:w="8789"/>
      </w:tblGrid>
      <w:tr w:rsidR="00E82512" w:rsidRPr="001B2FEF" w14:paraId="76118FA1" w14:textId="77777777" w:rsidTr="001924E5">
        <w:tc>
          <w:tcPr>
            <w:tcW w:w="8789" w:type="dxa"/>
            <w:shd w:val="clear" w:color="auto" w:fill="1E2DBE"/>
          </w:tcPr>
          <w:p w14:paraId="70B54B2A" w14:textId="77777777" w:rsidR="00E82512" w:rsidRPr="001B2FEF" w:rsidRDefault="00E82512" w:rsidP="001924E5">
            <w:pPr>
              <w:pStyle w:val="TableHeaderLeft"/>
              <w:keepNext/>
              <w:ind w:left="458" w:hanging="458"/>
              <w:rPr>
                <w:sz w:val="20"/>
                <w:szCs w:val="20"/>
                <w:lang w:val="es-ES_tradnl"/>
              </w:rPr>
            </w:pPr>
            <w:r w:rsidRPr="001B2FEF">
              <w:rPr>
                <w:sz w:val="20"/>
                <w:szCs w:val="20"/>
                <w:lang w:val="es-ES_tradnl"/>
              </w:rPr>
              <w:t>V.</w:t>
            </w:r>
            <w:r w:rsidRPr="001B2FEF">
              <w:rPr>
                <w:sz w:val="20"/>
                <w:szCs w:val="20"/>
                <w:lang w:val="es-ES_tradnl"/>
              </w:rPr>
              <w:tab/>
              <w:t>Últimas preguntas</w:t>
            </w:r>
          </w:p>
        </w:tc>
      </w:tr>
      <w:tr w:rsidR="00E82512" w:rsidRPr="002F0CDC" w14:paraId="3A432FC6" w14:textId="77777777" w:rsidTr="001924E5">
        <w:tc>
          <w:tcPr>
            <w:tcW w:w="8789" w:type="dxa"/>
          </w:tcPr>
          <w:p w14:paraId="1ABFF99E" w14:textId="77777777" w:rsidR="00E82512" w:rsidRPr="001B2FEF" w:rsidRDefault="00E82512" w:rsidP="000C3E0E">
            <w:pPr>
              <w:pStyle w:val="TableIndent1"/>
              <w:keepNext/>
              <w:tabs>
                <w:tab w:val="left" w:pos="657"/>
              </w:tabs>
              <w:spacing w:after="80"/>
              <w:ind w:left="510" w:hanging="510"/>
              <w:rPr>
                <w:sz w:val="20"/>
                <w:szCs w:val="20"/>
              </w:rPr>
            </w:pPr>
            <w:r w:rsidRPr="001B2FEF">
              <w:rPr>
                <w:sz w:val="20"/>
                <w:szCs w:val="20"/>
              </w:rPr>
              <w:t>5.1.</w:t>
            </w:r>
            <w:r w:rsidRPr="001B2FEF">
              <w:rPr>
                <w:sz w:val="20"/>
                <w:szCs w:val="20"/>
              </w:rPr>
              <w:tab/>
              <w:t>Sírvase indicar si su país ha solicitado o recibido asistencia técnica de la OIT en relación con:</w:t>
            </w:r>
          </w:p>
          <w:p w14:paraId="51D7EC0D" w14:textId="77777777" w:rsidR="00E82512" w:rsidRDefault="00E82512" w:rsidP="000C3E0E">
            <w:pPr>
              <w:pStyle w:val="TableIndent2"/>
              <w:tabs>
                <w:tab w:val="left" w:pos="1224"/>
                <w:tab w:val="left" w:pos="1365"/>
              </w:tabs>
              <w:ind w:left="1020" w:hanging="505"/>
              <w:rPr>
                <w:sz w:val="20"/>
                <w:szCs w:val="20"/>
              </w:rPr>
            </w:pPr>
            <w:r w:rsidRPr="001B2FEF">
              <w:rPr>
                <w:sz w:val="20"/>
                <w:szCs w:val="20"/>
              </w:rPr>
              <w:t>5.1.</w:t>
            </w:r>
            <w:r w:rsidRPr="001B2FEF">
              <w:rPr>
                <w:i/>
                <w:iCs/>
                <w:sz w:val="20"/>
                <w:szCs w:val="20"/>
              </w:rPr>
              <w:t>a)</w:t>
            </w:r>
            <w:r w:rsidRPr="001B2FEF">
              <w:rPr>
                <w:i/>
                <w:iCs/>
                <w:sz w:val="20"/>
                <w:szCs w:val="20"/>
              </w:rPr>
              <w:tab/>
            </w:r>
            <w:r w:rsidRPr="001B2FEF">
              <w:rPr>
                <w:sz w:val="20"/>
                <w:szCs w:val="20"/>
              </w:rPr>
              <w:t>el Convenio núm. 188;</w:t>
            </w:r>
          </w:p>
          <w:p w14:paraId="62039045" w14:textId="72F7B8B3" w:rsidR="002F0CDC" w:rsidRPr="001B2FEF" w:rsidRDefault="002F0CDC" w:rsidP="000C3E0E">
            <w:pPr>
              <w:pStyle w:val="TableIndent2"/>
              <w:tabs>
                <w:tab w:val="left" w:pos="1224"/>
                <w:tab w:val="left" w:pos="1365"/>
              </w:tabs>
              <w:ind w:left="1020" w:hanging="505"/>
              <w:rPr>
                <w:sz w:val="20"/>
                <w:szCs w:val="20"/>
              </w:rPr>
            </w:pPr>
            <w:r>
              <w:rPr>
                <w:color w:val="FFFFFF" w:themeColor="background1"/>
              </w:rPr>
              <w:t xml:space="preserve">{   </w:t>
            </w:r>
            <w:r>
              <w:rPr>
                <w:b/>
                <w:lang w:val="en-US"/>
              </w:rPr>
              <w:fldChar w:fldCharType="begin">
                <w:ffData>
                  <w:name w:val="Text8"/>
                  <w:enabled/>
                  <w:calcOnExit w:val="0"/>
                  <w:textInput/>
                </w:ffData>
              </w:fldChar>
            </w:r>
            <w:r w:rsidRPr="0005672A">
              <w:rPr>
                <w:b/>
              </w:rPr>
              <w:instrText xml:space="preserve"> FORMTEXT </w:instrText>
            </w:r>
            <w:r>
              <w:rPr>
                <w:b/>
                <w:lang w:val="en-US"/>
              </w:rPr>
            </w:r>
            <w:r>
              <w:rPr>
                <w:b/>
                <w:lang w:val="en-US"/>
              </w:rPr>
              <w:fldChar w:fldCharType="separate"/>
            </w:r>
            <w:r>
              <w:t> </w:t>
            </w:r>
            <w:r>
              <w:t> </w:t>
            </w:r>
            <w:r>
              <w:t> </w:t>
            </w:r>
            <w:r>
              <w:t> </w:t>
            </w:r>
            <w:r>
              <w:t> </w:t>
            </w:r>
            <w:r>
              <w:rPr>
                <w:lang w:val="en-GB"/>
              </w:rPr>
              <w:fldChar w:fldCharType="end"/>
            </w:r>
            <w:r>
              <w:rPr>
                <w:color w:val="FFFFFF" w:themeColor="background1"/>
              </w:rPr>
              <w:t xml:space="preserve">   }</w:t>
            </w:r>
          </w:p>
          <w:p w14:paraId="63879DC4" w14:textId="77777777" w:rsidR="00E82512" w:rsidRDefault="00E82512" w:rsidP="000C3E0E">
            <w:pPr>
              <w:pStyle w:val="TableIndent2"/>
              <w:tabs>
                <w:tab w:val="left" w:pos="1224"/>
                <w:tab w:val="left" w:pos="1365"/>
              </w:tabs>
              <w:ind w:left="1020" w:hanging="505"/>
              <w:rPr>
                <w:sz w:val="20"/>
                <w:szCs w:val="20"/>
              </w:rPr>
            </w:pPr>
            <w:r w:rsidRPr="001B2FEF">
              <w:rPr>
                <w:sz w:val="20"/>
                <w:szCs w:val="20"/>
              </w:rPr>
              <w:t>5.1.</w:t>
            </w:r>
            <w:r w:rsidRPr="001B2FEF">
              <w:rPr>
                <w:i/>
                <w:iCs/>
                <w:sz w:val="20"/>
                <w:szCs w:val="20"/>
              </w:rPr>
              <w:t>b)</w:t>
            </w:r>
            <w:r w:rsidRPr="001B2FEF">
              <w:rPr>
                <w:sz w:val="20"/>
                <w:szCs w:val="20"/>
              </w:rPr>
              <w:tab/>
              <w:t>el Convenio núm. 152;</w:t>
            </w:r>
          </w:p>
          <w:p w14:paraId="12358A74" w14:textId="1B264512" w:rsidR="002F0CDC" w:rsidRPr="001B2FEF" w:rsidRDefault="002F0CDC" w:rsidP="000C3E0E">
            <w:pPr>
              <w:pStyle w:val="TableIndent2"/>
              <w:tabs>
                <w:tab w:val="left" w:pos="1224"/>
                <w:tab w:val="left" w:pos="1365"/>
              </w:tabs>
              <w:ind w:left="1020" w:hanging="505"/>
              <w:rPr>
                <w:sz w:val="20"/>
                <w:szCs w:val="20"/>
              </w:rPr>
            </w:pPr>
            <w:r>
              <w:rPr>
                <w:color w:val="FFFFFF" w:themeColor="background1"/>
              </w:rPr>
              <w:t xml:space="preserve">{   </w:t>
            </w:r>
            <w:r>
              <w:rPr>
                <w:b/>
                <w:lang w:val="en-US"/>
              </w:rPr>
              <w:fldChar w:fldCharType="begin">
                <w:ffData>
                  <w:name w:val="Text8"/>
                  <w:enabled/>
                  <w:calcOnExit w:val="0"/>
                  <w:textInput/>
                </w:ffData>
              </w:fldChar>
            </w:r>
            <w:r w:rsidRPr="0005672A">
              <w:rPr>
                <w:b/>
              </w:rPr>
              <w:instrText xml:space="preserve"> FORMTEXT </w:instrText>
            </w:r>
            <w:r>
              <w:rPr>
                <w:b/>
                <w:lang w:val="en-US"/>
              </w:rPr>
            </w:r>
            <w:r>
              <w:rPr>
                <w:b/>
                <w:lang w:val="en-US"/>
              </w:rPr>
              <w:fldChar w:fldCharType="separate"/>
            </w:r>
            <w:r>
              <w:t> </w:t>
            </w:r>
            <w:r>
              <w:t> </w:t>
            </w:r>
            <w:r>
              <w:t> </w:t>
            </w:r>
            <w:r>
              <w:t> </w:t>
            </w:r>
            <w:r>
              <w:t> </w:t>
            </w:r>
            <w:r>
              <w:rPr>
                <w:lang w:val="en-GB"/>
              </w:rPr>
              <w:fldChar w:fldCharType="end"/>
            </w:r>
            <w:r>
              <w:rPr>
                <w:color w:val="FFFFFF" w:themeColor="background1"/>
              </w:rPr>
              <w:t xml:space="preserve">   }</w:t>
            </w:r>
          </w:p>
          <w:p w14:paraId="64BC4962" w14:textId="77777777" w:rsidR="00E82512" w:rsidRDefault="00E82512" w:rsidP="000C3E0E">
            <w:pPr>
              <w:pStyle w:val="TableIndent2"/>
              <w:tabs>
                <w:tab w:val="left" w:pos="1224"/>
                <w:tab w:val="left" w:pos="1365"/>
              </w:tabs>
              <w:ind w:left="1224" w:hanging="709"/>
              <w:rPr>
                <w:sz w:val="20"/>
                <w:szCs w:val="20"/>
              </w:rPr>
            </w:pPr>
            <w:r w:rsidRPr="001B2FEF">
              <w:rPr>
                <w:sz w:val="20"/>
                <w:szCs w:val="20"/>
              </w:rPr>
              <w:t>5.1.</w:t>
            </w:r>
            <w:r w:rsidRPr="001B2FEF">
              <w:rPr>
                <w:i/>
                <w:iCs/>
                <w:sz w:val="20"/>
                <w:szCs w:val="20"/>
              </w:rPr>
              <w:t>c)</w:t>
            </w:r>
            <w:r w:rsidRPr="001B2FEF">
              <w:rPr>
                <w:sz w:val="20"/>
                <w:szCs w:val="20"/>
              </w:rPr>
              <w:tab/>
              <w:t>el Convenio núm. 169;</w:t>
            </w:r>
          </w:p>
          <w:p w14:paraId="0F36483D" w14:textId="01C0E010" w:rsidR="002F0CDC" w:rsidRPr="001B2FEF" w:rsidRDefault="002F0CDC" w:rsidP="000C3E0E">
            <w:pPr>
              <w:pStyle w:val="TableIndent2"/>
              <w:tabs>
                <w:tab w:val="left" w:pos="1224"/>
                <w:tab w:val="left" w:pos="1365"/>
              </w:tabs>
              <w:ind w:left="1224" w:hanging="709"/>
              <w:rPr>
                <w:sz w:val="20"/>
                <w:szCs w:val="20"/>
              </w:rPr>
            </w:pPr>
            <w:r>
              <w:rPr>
                <w:color w:val="FFFFFF" w:themeColor="background1"/>
              </w:rPr>
              <w:t xml:space="preserve">{   </w:t>
            </w:r>
            <w:r>
              <w:rPr>
                <w:b/>
                <w:lang w:val="en-US"/>
              </w:rPr>
              <w:fldChar w:fldCharType="begin">
                <w:ffData>
                  <w:name w:val="Text8"/>
                  <w:enabled/>
                  <w:calcOnExit w:val="0"/>
                  <w:textInput/>
                </w:ffData>
              </w:fldChar>
            </w:r>
            <w:r w:rsidRPr="0005672A">
              <w:rPr>
                <w:b/>
              </w:rPr>
              <w:instrText xml:space="preserve"> FORMTEXT </w:instrText>
            </w:r>
            <w:r>
              <w:rPr>
                <w:b/>
                <w:lang w:val="en-US"/>
              </w:rPr>
            </w:r>
            <w:r>
              <w:rPr>
                <w:b/>
                <w:lang w:val="en-US"/>
              </w:rPr>
              <w:fldChar w:fldCharType="separate"/>
            </w:r>
            <w:r>
              <w:t> </w:t>
            </w:r>
            <w:r>
              <w:t> </w:t>
            </w:r>
            <w:r>
              <w:t> </w:t>
            </w:r>
            <w:r>
              <w:t> </w:t>
            </w:r>
            <w:r>
              <w:t> </w:t>
            </w:r>
            <w:r>
              <w:rPr>
                <w:lang w:val="en-GB"/>
              </w:rPr>
              <w:fldChar w:fldCharType="end"/>
            </w:r>
            <w:r>
              <w:rPr>
                <w:color w:val="FFFFFF" w:themeColor="background1"/>
              </w:rPr>
              <w:t xml:space="preserve">   }</w:t>
            </w:r>
          </w:p>
          <w:p w14:paraId="265824FF" w14:textId="77777777" w:rsidR="00E82512" w:rsidRDefault="00E82512" w:rsidP="000C3E0E">
            <w:pPr>
              <w:pStyle w:val="TableIndent2"/>
              <w:tabs>
                <w:tab w:val="left" w:pos="1224"/>
                <w:tab w:val="left" w:pos="1365"/>
              </w:tabs>
              <w:spacing w:after="80"/>
              <w:ind w:left="1021" w:hanging="505"/>
              <w:rPr>
                <w:sz w:val="20"/>
                <w:szCs w:val="20"/>
              </w:rPr>
            </w:pPr>
            <w:r w:rsidRPr="001B2FEF">
              <w:rPr>
                <w:sz w:val="20"/>
                <w:szCs w:val="20"/>
              </w:rPr>
              <w:t>5.1.</w:t>
            </w:r>
            <w:r w:rsidRPr="001B2FEF">
              <w:rPr>
                <w:i/>
                <w:iCs/>
                <w:sz w:val="20"/>
                <w:szCs w:val="20"/>
              </w:rPr>
              <w:t>d)</w:t>
            </w:r>
            <w:r w:rsidRPr="001B2FEF">
              <w:rPr>
                <w:sz w:val="20"/>
                <w:szCs w:val="20"/>
              </w:rPr>
              <w:tab/>
              <w:t>el Convenio núm. 183.</w:t>
            </w:r>
          </w:p>
          <w:p w14:paraId="40F5A6E0" w14:textId="1286A3C8" w:rsidR="002F0CDC" w:rsidRPr="001B2FEF" w:rsidRDefault="002F0CDC" w:rsidP="000C3E0E">
            <w:pPr>
              <w:pStyle w:val="TableIndent2"/>
              <w:tabs>
                <w:tab w:val="left" w:pos="1224"/>
                <w:tab w:val="left" w:pos="1365"/>
              </w:tabs>
              <w:spacing w:after="80"/>
              <w:ind w:left="1021" w:hanging="505"/>
              <w:rPr>
                <w:sz w:val="20"/>
                <w:szCs w:val="20"/>
              </w:rPr>
            </w:pPr>
            <w:r>
              <w:rPr>
                <w:color w:val="FFFFFF" w:themeColor="background1"/>
              </w:rPr>
              <w:t xml:space="preserve">{   </w:t>
            </w:r>
            <w:r>
              <w:rPr>
                <w:b/>
                <w:lang w:val="en-US"/>
              </w:rPr>
              <w:fldChar w:fldCharType="begin">
                <w:ffData>
                  <w:name w:val="Text8"/>
                  <w:enabled/>
                  <w:calcOnExit w:val="0"/>
                  <w:textInput/>
                </w:ffData>
              </w:fldChar>
            </w:r>
            <w:r w:rsidRPr="0005672A">
              <w:rPr>
                <w:b/>
              </w:rPr>
              <w:instrText xml:space="preserve"> FORMTEXT </w:instrText>
            </w:r>
            <w:r>
              <w:rPr>
                <w:b/>
                <w:lang w:val="en-US"/>
              </w:rPr>
            </w:r>
            <w:r>
              <w:rPr>
                <w:b/>
                <w:lang w:val="en-US"/>
              </w:rPr>
              <w:fldChar w:fldCharType="separate"/>
            </w:r>
            <w:r>
              <w:t> </w:t>
            </w:r>
            <w:r>
              <w:t> </w:t>
            </w:r>
            <w:r>
              <w:t> </w:t>
            </w:r>
            <w:r>
              <w:t> </w:t>
            </w:r>
            <w:r>
              <w:t> </w:t>
            </w:r>
            <w:r>
              <w:rPr>
                <w:lang w:val="en-GB"/>
              </w:rPr>
              <w:fldChar w:fldCharType="end"/>
            </w:r>
            <w:r>
              <w:rPr>
                <w:color w:val="FFFFFF" w:themeColor="background1"/>
              </w:rPr>
              <w:t xml:space="preserve">   }</w:t>
            </w:r>
          </w:p>
          <w:p w14:paraId="1E900FCC" w14:textId="77777777" w:rsidR="00E82512" w:rsidRPr="001B2FEF" w:rsidRDefault="00E82512" w:rsidP="00A33547">
            <w:pPr>
              <w:pStyle w:val="TableIndent1"/>
              <w:keepNext/>
              <w:tabs>
                <w:tab w:val="left" w:pos="657"/>
              </w:tabs>
              <w:spacing w:after="80"/>
              <w:ind w:left="515" w:hanging="515"/>
              <w:rPr>
                <w:sz w:val="20"/>
                <w:szCs w:val="20"/>
              </w:rPr>
            </w:pPr>
            <w:r w:rsidRPr="001B2FEF">
              <w:rPr>
                <w:sz w:val="20"/>
                <w:szCs w:val="20"/>
              </w:rPr>
              <w:t>5.2.</w:t>
            </w:r>
            <w:r w:rsidRPr="001B2FEF">
              <w:rPr>
                <w:sz w:val="20"/>
                <w:szCs w:val="20"/>
              </w:rPr>
              <w:tab/>
              <w:t>Sírvase indicar qué tipo de asistencia técnica resultaría más útil en relación con:</w:t>
            </w:r>
          </w:p>
          <w:p w14:paraId="17BAD1B0" w14:textId="77777777" w:rsidR="00E82512" w:rsidRDefault="00E82512" w:rsidP="000C3E0E">
            <w:pPr>
              <w:pStyle w:val="TableIndent2"/>
              <w:tabs>
                <w:tab w:val="left" w:pos="1224"/>
                <w:tab w:val="left" w:pos="1365"/>
              </w:tabs>
              <w:ind w:left="1020" w:hanging="505"/>
              <w:rPr>
                <w:sz w:val="20"/>
                <w:szCs w:val="20"/>
              </w:rPr>
            </w:pPr>
            <w:r w:rsidRPr="001B2FEF">
              <w:rPr>
                <w:sz w:val="20"/>
                <w:szCs w:val="20"/>
              </w:rPr>
              <w:t>5.2.</w:t>
            </w:r>
            <w:r w:rsidRPr="001B2FEF">
              <w:rPr>
                <w:i/>
                <w:iCs/>
                <w:sz w:val="20"/>
                <w:szCs w:val="20"/>
              </w:rPr>
              <w:t>a)</w:t>
            </w:r>
            <w:r w:rsidRPr="001B2FEF">
              <w:rPr>
                <w:sz w:val="20"/>
                <w:szCs w:val="20"/>
              </w:rPr>
              <w:tab/>
              <w:t>el Convenio núm. 188;</w:t>
            </w:r>
          </w:p>
          <w:p w14:paraId="7AFD6D00" w14:textId="25B2E3E3" w:rsidR="002F0CDC" w:rsidRPr="001B2FEF" w:rsidRDefault="002F0CDC" w:rsidP="000C3E0E">
            <w:pPr>
              <w:pStyle w:val="TableIndent2"/>
              <w:tabs>
                <w:tab w:val="left" w:pos="1224"/>
                <w:tab w:val="left" w:pos="1365"/>
              </w:tabs>
              <w:ind w:left="1020" w:hanging="505"/>
              <w:rPr>
                <w:sz w:val="20"/>
                <w:szCs w:val="20"/>
              </w:rPr>
            </w:pPr>
            <w:r>
              <w:rPr>
                <w:color w:val="FFFFFF" w:themeColor="background1"/>
              </w:rPr>
              <w:t xml:space="preserve">{   </w:t>
            </w:r>
            <w:r>
              <w:rPr>
                <w:b/>
                <w:lang w:val="en-US"/>
              </w:rPr>
              <w:fldChar w:fldCharType="begin">
                <w:ffData>
                  <w:name w:val="Text8"/>
                  <w:enabled/>
                  <w:calcOnExit w:val="0"/>
                  <w:textInput/>
                </w:ffData>
              </w:fldChar>
            </w:r>
            <w:r w:rsidRPr="0005672A">
              <w:rPr>
                <w:b/>
              </w:rPr>
              <w:instrText xml:space="preserve"> FORMTEXT </w:instrText>
            </w:r>
            <w:r>
              <w:rPr>
                <w:b/>
                <w:lang w:val="en-US"/>
              </w:rPr>
            </w:r>
            <w:r>
              <w:rPr>
                <w:b/>
                <w:lang w:val="en-US"/>
              </w:rPr>
              <w:fldChar w:fldCharType="separate"/>
            </w:r>
            <w:r>
              <w:t> </w:t>
            </w:r>
            <w:r>
              <w:t> </w:t>
            </w:r>
            <w:r>
              <w:t> </w:t>
            </w:r>
            <w:r>
              <w:t> </w:t>
            </w:r>
            <w:r>
              <w:t> </w:t>
            </w:r>
            <w:r>
              <w:rPr>
                <w:lang w:val="en-GB"/>
              </w:rPr>
              <w:fldChar w:fldCharType="end"/>
            </w:r>
            <w:r>
              <w:rPr>
                <w:color w:val="FFFFFF" w:themeColor="background1"/>
              </w:rPr>
              <w:t xml:space="preserve">   }</w:t>
            </w:r>
          </w:p>
          <w:p w14:paraId="750B18D6" w14:textId="77777777" w:rsidR="00E82512" w:rsidRDefault="00E82512" w:rsidP="000C3E0E">
            <w:pPr>
              <w:pStyle w:val="TableIndent2"/>
              <w:tabs>
                <w:tab w:val="left" w:pos="1224"/>
                <w:tab w:val="left" w:pos="1365"/>
              </w:tabs>
              <w:ind w:left="1020" w:hanging="505"/>
              <w:rPr>
                <w:sz w:val="20"/>
                <w:szCs w:val="20"/>
              </w:rPr>
            </w:pPr>
            <w:r w:rsidRPr="001B2FEF">
              <w:rPr>
                <w:sz w:val="20"/>
                <w:szCs w:val="20"/>
              </w:rPr>
              <w:t>5.2.</w:t>
            </w:r>
            <w:r w:rsidRPr="001B2FEF">
              <w:rPr>
                <w:i/>
                <w:iCs/>
                <w:sz w:val="20"/>
                <w:szCs w:val="20"/>
              </w:rPr>
              <w:t>b)</w:t>
            </w:r>
            <w:r w:rsidRPr="001B2FEF">
              <w:rPr>
                <w:sz w:val="20"/>
                <w:szCs w:val="20"/>
              </w:rPr>
              <w:tab/>
              <w:t>el Convenio núm. 152;</w:t>
            </w:r>
          </w:p>
          <w:p w14:paraId="72911DD7" w14:textId="31CDC428" w:rsidR="002F0CDC" w:rsidRPr="001B2FEF" w:rsidRDefault="002F0CDC" w:rsidP="000C3E0E">
            <w:pPr>
              <w:pStyle w:val="TableIndent2"/>
              <w:tabs>
                <w:tab w:val="left" w:pos="1224"/>
                <w:tab w:val="left" w:pos="1365"/>
              </w:tabs>
              <w:ind w:left="1020" w:hanging="505"/>
              <w:rPr>
                <w:sz w:val="20"/>
                <w:szCs w:val="20"/>
              </w:rPr>
            </w:pPr>
            <w:r>
              <w:rPr>
                <w:color w:val="FFFFFF" w:themeColor="background1"/>
              </w:rPr>
              <w:t xml:space="preserve">{   </w:t>
            </w:r>
            <w:r>
              <w:rPr>
                <w:b/>
                <w:lang w:val="en-US"/>
              </w:rPr>
              <w:fldChar w:fldCharType="begin">
                <w:ffData>
                  <w:name w:val="Text8"/>
                  <w:enabled/>
                  <w:calcOnExit w:val="0"/>
                  <w:textInput/>
                </w:ffData>
              </w:fldChar>
            </w:r>
            <w:r w:rsidRPr="0005672A">
              <w:rPr>
                <w:b/>
              </w:rPr>
              <w:instrText xml:space="preserve"> FORMTEXT </w:instrText>
            </w:r>
            <w:r>
              <w:rPr>
                <w:b/>
                <w:lang w:val="en-US"/>
              </w:rPr>
            </w:r>
            <w:r>
              <w:rPr>
                <w:b/>
                <w:lang w:val="en-US"/>
              </w:rPr>
              <w:fldChar w:fldCharType="separate"/>
            </w:r>
            <w:r>
              <w:t> </w:t>
            </w:r>
            <w:r>
              <w:t> </w:t>
            </w:r>
            <w:r>
              <w:t> </w:t>
            </w:r>
            <w:r>
              <w:t> </w:t>
            </w:r>
            <w:r>
              <w:t> </w:t>
            </w:r>
            <w:r>
              <w:rPr>
                <w:lang w:val="en-GB"/>
              </w:rPr>
              <w:fldChar w:fldCharType="end"/>
            </w:r>
            <w:r>
              <w:rPr>
                <w:color w:val="FFFFFF" w:themeColor="background1"/>
              </w:rPr>
              <w:t xml:space="preserve">   }</w:t>
            </w:r>
          </w:p>
          <w:p w14:paraId="45C4CA05" w14:textId="77777777" w:rsidR="00E82512" w:rsidRDefault="00E82512" w:rsidP="000C3E0E">
            <w:pPr>
              <w:pStyle w:val="TableIndent2"/>
              <w:tabs>
                <w:tab w:val="left" w:pos="1224"/>
                <w:tab w:val="left" w:pos="1365"/>
              </w:tabs>
              <w:ind w:left="1224" w:hanging="709"/>
              <w:rPr>
                <w:sz w:val="20"/>
                <w:szCs w:val="20"/>
              </w:rPr>
            </w:pPr>
            <w:r w:rsidRPr="001B2FEF">
              <w:rPr>
                <w:sz w:val="20"/>
                <w:szCs w:val="20"/>
              </w:rPr>
              <w:t>5.2.</w:t>
            </w:r>
            <w:r w:rsidRPr="001B2FEF">
              <w:rPr>
                <w:i/>
                <w:iCs/>
                <w:sz w:val="20"/>
                <w:szCs w:val="20"/>
              </w:rPr>
              <w:t>c)</w:t>
            </w:r>
            <w:r w:rsidRPr="001B2FEF">
              <w:rPr>
                <w:sz w:val="20"/>
                <w:szCs w:val="20"/>
              </w:rPr>
              <w:tab/>
              <w:t>el Convenio núm. 169;</w:t>
            </w:r>
          </w:p>
          <w:p w14:paraId="2709B63D" w14:textId="217269D6" w:rsidR="002F0CDC" w:rsidRPr="001B2FEF" w:rsidRDefault="002F0CDC" w:rsidP="000C3E0E">
            <w:pPr>
              <w:pStyle w:val="TableIndent2"/>
              <w:tabs>
                <w:tab w:val="left" w:pos="1224"/>
                <w:tab w:val="left" w:pos="1365"/>
              </w:tabs>
              <w:ind w:left="1224" w:hanging="709"/>
              <w:rPr>
                <w:sz w:val="20"/>
                <w:szCs w:val="20"/>
              </w:rPr>
            </w:pPr>
            <w:r>
              <w:rPr>
                <w:color w:val="FFFFFF" w:themeColor="background1"/>
              </w:rPr>
              <w:t xml:space="preserve">{   </w:t>
            </w:r>
            <w:r>
              <w:rPr>
                <w:b/>
                <w:lang w:val="en-US"/>
              </w:rPr>
              <w:fldChar w:fldCharType="begin">
                <w:ffData>
                  <w:name w:val="Text8"/>
                  <w:enabled/>
                  <w:calcOnExit w:val="0"/>
                  <w:textInput/>
                </w:ffData>
              </w:fldChar>
            </w:r>
            <w:r w:rsidRPr="0005672A">
              <w:rPr>
                <w:b/>
              </w:rPr>
              <w:instrText xml:space="preserve"> FORMTEXT </w:instrText>
            </w:r>
            <w:r>
              <w:rPr>
                <w:b/>
                <w:lang w:val="en-US"/>
              </w:rPr>
            </w:r>
            <w:r>
              <w:rPr>
                <w:b/>
                <w:lang w:val="en-US"/>
              </w:rPr>
              <w:fldChar w:fldCharType="separate"/>
            </w:r>
            <w:r>
              <w:t> </w:t>
            </w:r>
            <w:r>
              <w:t> </w:t>
            </w:r>
            <w:r>
              <w:t> </w:t>
            </w:r>
            <w:r>
              <w:t> </w:t>
            </w:r>
            <w:r>
              <w:t> </w:t>
            </w:r>
            <w:r>
              <w:rPr>
                <w:lang w:val="en-GB"/>
              </w:rPr>
              <w:fldChar w:fldCharType="end"/>
            </w:r>
            <w:r>
              <w:rPr>
                <w:color w:val="FFFFFF" w:themeColor="background1"/>
              </w:rPr>
              <w:t xml:space="preserve">   }</w:t>
            </w:r>
          </w:p>
          <w:p w14:paraId="55299807" w14:textId="77777777" w:rsidR="00E82512" w:rsidRDefault="00E82512" w:rsidP="000C3E0E">
            <w:pPr>
              <w:pStyle w:val="TableIndent2"/>
              <w:tabs>
                <w:tab w:val="left" w:pos="1224"/>
                <w:tab w:val="left" w:pos="1365"/>
              </w:tabs>
              <w:ind w:left="1020" w:hanging="505"/>
              <w:rPr>
                <w:sz w:val="20"/>
                <w:szCs w:val="20"/>
              </w:rPr>
            </w:pPr>
            <w:r w:rsidRPr="001B2FEF">
              <w:rPr>
                <w:sz w:val="20"/>
                <w:szCs w:val="20"/>
              </w:rPr>
              <w:t>5.2.</w:t>
            </w:r>
            <w:r w:rsidRPr="001B2FEF">
              <w:rPr>
                <w:i/>
                <w:iCs/>
                <w:sz w:val="20"/>
                <w:szCs w:val="20"/>
              </w:rPr>
              <w:t>d)</w:t>
            </w:r>
            <w:r w:rsidRPr="001B2FEF">
              <w:rPr>
                <w:sz w:val="20"/>
                <w:szCs w:val="20"/>
              </w:rPr>
              <w:tab/>
              <w:t>el Convenio núm. 183.</w:t>
            </w:r>
          </w:p>
          <w:p w14:paraId="2986FA75" w14:textId="4F9FEF1B" w:rsidR="002F0CDC" w:rsidRPr="001B2FEF" w:rsidRDefault="002F0CDC" w:rsidP="000C3E0E">
            <w:pPr>
              <w:pStyle w:val="TableIndent2"/>
              <w:tabs>
                <w:tab w:val="left" w:pos="1224"/>
                <w:tab w:val="left" w:pos="1365"/>
              </w:tabs>
              <w:ind w:left="1020" w:hanging="505"/>
              <w:rPr>
                <w:sz w:val="20"/>
                <w:szCs w:val="20"/>
              </w:rPr>
            </w:pPr>
            <w:r>
              <w:rPr>
                <w:color w:val="FFFFFF" w:themeColor="background1"/>
              </w:rPr>
              <w:t xml:space="preserve">{   </w:t>
            </w:r>
            <w:r>
              <w:rPr>
                <w:b/>
                <w:lang w:val="en-US"/>
              </w:rPr>
              <w:fldChar w:fldCharType="begin">
                <w:ffData>
                  <w:name w:val="Text8"/>
                  <w:enabled/>
                  <w:calcOnExit w:val="0"/>
                  <w:textInput/>
                </w:ffData>
              </w:fldChar>
            </w:r>
            <w:r>
              <w:rPr>
                <w:b/>
                <w:lang w:val="en-US"/>
              </w:rPr>
              <w:instrText xml:space="preserve"> FORMTEXT </w:instrText>
            </w:r>
            <w:r>
              <w:rPr>
                <w:b/>
                <w:lang w:val="en-US"/>
              </w:rPr>
            </w:r>
            <w:r>
              <w:rPr>
                <w:b/>
                <w:lang w:val="en-US"/>
              </w:rPr>
              <w:fldChar w:fldCharType="separate"/>
            </w:r>
            <w:r>
              <w:t> </w:t>
            </w:r>
            <w:r>
              <w:t> </w:t>
            </w:r>
            <w:r>
              <w:t> </w:t>
            </w:r>
            <w:r>
              <w:t> </w:t>
            </w:r>
            <w:r>
              <w:t> </w:t>
            </w:r>
            <w:r>
              <w:rPr>
                <w:lang w:val="en-GB"/>
              </w:rPr>
              <w:fldChar w:fldCharType="end"/>
            </w:r>
            <w:r>
              <w:rPr>
                <w:color w:val="FFFFFF" w:themeColor="background1"/>
              </w:rPr>
              <w:t xml:space="preserve">   }</w:t>
            </w:r>
          </w:p>
        </w:tc>
      </w:tr>
      <w:tr w:rsidR="00E82512" w:rsidRPr="00B62393" w14:paraId="311E62A3" w14:textId="77777777" w:rsidTr="001924E5">
        <w:tc>
          <w:tcPr>
            <w:tcW w:w="8789" w:type="dxa"/>
            <w:shd w:val="clear" w:color="auto" w:fill="1E2DBE"/>
          </w:tcPr>
          <w:p w14:paraId="3E8C8D88" w14:textId="4D09533F" w:rsidR="00E82512" w:rsidRPr="001B2FEF" w:rsidRDefault="00E82512" w:rsidP="001924E5">
            <w:pPr>
              <w:pStyle w:val="TableHeaderLeft"/>
              <w:keepNext/>
              <w:ind w:left="458" w:hanging="458"/>
              <w:rPr>
                <w:sz w:val="20"/>
                <w:szCs w:val="20"/>
                <w:lang w:val="es-ES_tradnl"/>
              </w:rPr>
            </w:pPr>
            <w:r w:rsidRPr="001B2FEF">
              <w:rPr>
                <w:sz w:val="20"/>
                <w:szCs w:val="20"/>
                <w:lang w:val="es-ES_tradnl"/>
              </w:rPr>
              <w:t>VI.</w:t>
            </w:r>
            <w:r w:rsidRPr="001B2FEF">
              <w:rPr>
                <w:sz w:val="20"/>
                <w:szCs w:val="20"/>
                <w:lang w:val="es-ES_tradnl"/>
              </w:rPr>
              <w:tab/>
            </w:r>
            <w:r w:rsidRPr="001B2FEF">
              <w:rPr>
                <w:spacing w:val="-6"/>
                <w:sz w:val="20"/>
                <w:szCs w:val="20"/>
                <w:lang w:val="es-ES_tradnl"/>
              </w:rPr>
              <w:t>Consultas con empleadores, trabajadores y sus organizaciones y participación de</w:t>
            </w:r>
            <w:r w:rsidR="00F00329" w:rsidRPr="001B2FEF">
              <w:rPr>
                <w:spacing w:val="-6"/>
                <w:sz w:val="20"/>
                <w:szCs w:val="20"/>
                <w:lang w:val="es-ES_tradnl"/>
              </w:rPr>
              <w:t xml:space="preserve"> </w:t>
            </w:r>
            <w:r w:rsidRPr="001B2FEF">
              <w:rPr>
                <w:spacing w:val="-6"/>
                <w:sz w:val="20"/>
                <w:szCs w:val="20"/>
                <w:lang w:val="es-ES_tradnl"/>
              </w:rPr>
              <w:t>estos</w:t>
            </w:r>
          </w:p>
        </w:tc>
      </w:tr>
      <w:tr w:rsidR="00E82512" w:rsidRPr="00B62393" w14:paraId="1DEE2109" w14:textId="77777777" w:rsidTr="001924E5">
        <w:tc>
          <w:tcPr>
            <w:tcW w:w="8789" w:type="dxa"/>
          </w:tcPr>
          <w:p w14:paraId="75BAE4F2" w14:textId="77777777" w:rsidR="00E82512" w:rsidRPr="001B2FEF" w:rsidRDefault="00E82512" w:rsidP="00D323AD">
            <w:pPr>
              <w:pStyle w:val="TableIndentbluebulletlist1"/>
              <w:numPr>
                <w:ilvl w:val="0"/>
                <w:numId w:val="34"/>
              </w:numPr>
              <w:jc w:val="both"/>
              <w:rPr>
                <w:spacing w:val="-2"/>
                <w:sz w:val="20"/>
                <w:szCs w:val="20"/>
              </w:rPr>
            </w:pPr>
            <w:r w:rsidRPr="001B2FEF">
              <w:rPr>
                <w:spacing w:val="-2"/>
                <w:sz w:val="20"/>
                <w:szCs w:val="20"/>
              </w:rPr>
              <w:t xml:space="preserve">Sírvase indicar a qué organizaciones representativas de empleadores y de trabajadores se ha comunicado copia de la presente memoria, de conformidad con el artículo 23, 2) de la </w:t>
            </w:r>
            <w:r w:rsidRPr="001B2FEF">
              <w:rPr>
                <w:spacing w:val="-2"/>
                <w:sz w:val="20"/>
                <w:szCs w:val="20"/>
              </w:rPr>
              <w:lastRenderedPageBreak/>
              <w:t>Constitución de la Organización Internacional del Trabajo, y precisar si ha recibido observaciones de dichas organizaciones. En caso afirmativo, sírvase transmitir una copia de las observaciones recibidas, junto con los comentarios que estime oportuno formular.</w:t>
            </w:r>
          </w:p>
        </w:tc>
      </w:tr>
      <w:tr w:rsidR="00E82512" w:rsidRPr="00B62393" w14:paraId="74B69B28" w14:textId="77777777" w:rsidTr="00D323AD">
        <w:trPr>
          <w:trHeight w:val="157"/>
        </w:trPr>
        <w:tc>
          <w:tcPr>
            <w:tcW w:w="8789" w:type="dxa"/>
            <w:tcBorders>
              <w:top w:val="single" w:sz="4" w:space="0" w:color="1E2DBE"/>
            </w:tcBorders>
          </w:tcPr>
          <w:p w14:paraId="53761954" w14:textId="77777777" w:rsidR="00E82512" w:rsidRPr="001B2FEF" w:rsidRDefault="00E82512" w:rsidP="001924E5">
            <w:pPr>
              <w:pStyle w:val="TableBoxrowempty"/>
              <w:keepNext/>
              <w:rPr>
                <w:b/>
                <w:sz w:val="20"/>
                <w:szCs w:val="20"/>
                <w:lang w:val="es-ES_tradnl"/>
              </w:rPr>
            </w:pPr>
          </w:p>
        </w:tc>
      </w:tr>
    </w:tbl>
    <w:bookmarkEnd w:id="71"/>
    <w:p w14:paraId="5EFDFDCD" w14:textId="7E384670" w:rsidR="00B958FD" w:rsidRDefault="002F0CDC" w:rsidP="00BF0D31">
      <w:pPr>
        <w:tabs>
          <w:tab w:val="left" w:pos="1530"/>
        </w:tabs>
        <w:spacing w:line="240" w:lineRule="auto"/>
        <w:rPr>
          <w:rFonts w:eastAsia="Noto Sans SC Regular"/>
          <w:color w:val="000000" w:themeColor="text1"/>
          <w:lang w:val="es-ES_tradnl"/>
        </w:rPr>
      </w:pPr>
      <w:r w:rsidRPr="0005672A">
        <w:rPr>
          <w:color w:val="FFFFFF" w:themeColor="background1"/>
          <w:lang w:val="es-ES_tradnl"/>
        </w:rPr>
        <w:tab/>
      </w:r>
      <w:r>
        <w:rPr>
          <w:color w:val="FFFFFF" w:themeColor="background1"/>
        </w:rPr>
        <w:t xml:space="preserve">{   </w:t>
      </w:r>
      <w:r>
        <w:rPr>
          <w:b/>
          <w:lang w:val="en-US"/>
        </w:rPr>
        <w:fldChar w:fldCharType="begin">
          <w:ffData>
            <w:name w:val="Text8"/>
            <w:enabled/>
            <w:calcOnExit w:val="0"/>
            <w:textInput/>
          </w:ffData>
        </w:fldChar>
      </w:r>
      <w:r>
        <w:rPr>
          <w:b/>
          <w:lang w:val="en-US"/>
        </w:rPr>
        <w:instrText xml:space="preserve"> FORMTEXT </w:instrText>
      </w:r>
      <w:r>
        <w:rPr>
          <w:b/>
          <w:lang w:val="en-US"/>
        </w:rPr>
      </w:r>
      <w:r>
        <w:rPr>
          <w:b/>
          <w:lang w:val="en-US"/>
        </w:rPr>
        <w:fldChar w:fldCharType="separate"/>
      </w:r>
      <w:r>
        <w:t> </w:t>
      </w:r>
      <w:r>
        <w:t> </w:t>
      </w:r>
      <w:r>
        <w:t> </w:t>
      </w:r>
      <w:r>
        <w:t> </w:t>
      </w:r>
      <w:r>
        <w:t> </w:t>
      </w:r>
      <w:r>
        <w:fldChar w:fldCharType="end"/>
      </w:r>
      <w:r>
        <w:rPr>
          <w:color w:val="FFFFFF" w:themeColor="background1"/>
        </w:rPr>
        <w:t xml:space="preserve">   }</w:t>
      </w:r>
    </w:p>
    <w:sectPr w:rsidR="00B958FD" w:rsidSect="00BF0D31">
      <w:headerReference w:type="default" r:id="rId12"/>
      <w:headerReference w:type="first" r:id="rId13"/>
      <w:footerReference w:type="first" r:id="rId14"/>
      <w:footnotePr>
        <w:numRestart w:val="eachSect"/>
      </w:footnotePr>
      <w:type w:val="oddPage"/>
      <w:pgSz w:w="11906" w:h="16838" w:code="9"/>
      <w:pgMar w:top="2268" w:right="1134" w:bottom="964" w:left="1134" w:header="851" w:footer="680" w:gutter="0"/>
      <w:pgNumType w:start="1"/>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ADD59" w14:textId="77777777" w:rsidR="009930DD" w:rsidRDefault="009930DD" w:rsidP="00D83F6C">
      <w:pPr>
        <w:spacing w:line="240" w:lineRule="auto"/>
      </w:pPr>
      <w:r>
        <w:separator/>
      </w:r>
    </w:p>
    <w:p w14:paraId="6EEA7486" w14:textId="77777777" w:rsidR="009930DD" w:rsidRDefault="009930DD"/>
    <w:p w14:paraId="33853DAE" w14:textId="77777777" w:rsidR="009930DD" w:rsidRDefault="009930DD"/>
    <w:p w14:paraId="199BFF93" w14:textId="77777777" w:rsidR="009930DD" w:rsidRDefault="009930DD"/>
    <w:p w14:paraId="10A86932" w14:textId="77777777" w:rsidR="009930DD" w:rsidRDefault="009930DD"/>
  </w:endnote>
  <w:endnote w:type="continuationSeparator" w:id="0">
    <w:p w14:paraId="32BCD506" w14:textId="77777777" w:rsidR="009930DD" w:rsidRDefault="009930DD" w:rsidP="00D83F6C">
      <w:pPr>
        <w:spacing w:line="240" w:lineRule="auto"/>
      </w:pPr>
      <w:r>
        <w:continuationSeparator/>
      </w:r>
    </w:p>
    <w:p w14:paraId="1145279E" w14:textId="77777777" w:rsidR="009930DD" w:rsidRDefault="009930DD"/>
    <w:p w14:paraId="250D831C" w14:textId="77777777" w:rsidR="009930DD" w:rsidRDefault="009930DD"/>
    <w:p w14:paraId="126B912E" w14:textId="77777777" w:rsidR="009930DD" w:rsidRDefault="009930DD"/>
    <w:p w14:paraId="43AD5A8B" w14:textId="77777777" w:rsidR="009930DD" w:rsidRDefault="009930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02FF" w:usb1="4000201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verpass">
    <w:panose1 w:val="00000500000000000000"/>
    <w:charset w:val="00"/>
    <w:family w:val="auto"/>
    <w:pitch w:val="variable"/>
    <w:sig w:usb0="00000007" w:usb1="0000002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emBd">
    <w:altName w:val="Calibri"/>
    <w:charset w:val="01"/>
    <w:family w:val="swiss"/>
    <w:pitch w:val="variable"/>
    <w:sig w:usb0="E00002FF" w:usb1="4000001F" w:usb2="08000029" w:usb3="00000000" w:csb0="00000000" w:csb1="00000000"/>
  </w:font>
  <w:font w:name="Overpass Light">
    <w:panose1 w:val="00000400000000000000"/>
    <w:charset w:val="00"/>
    <w:family w:val="auto"/>
    <w:pitch w:val="variable"/>
    <w:sig w:usb0="00000007" w:usb1="00000020" w:usb2="00000000" w:usb3="00000000" w:csb0="00000093" w:csb1="00000000"/>
  </w:font>
  <w:font w:name="Noto Sans SC Bold">
    <w:panose1 w:val="00000000000000000000"/>
    <w:charset w:val="80"/>
    <w:family w:val="swiss"/>
    <w:notTrueType/>
    <w:pitch w:val="variable"/>
    <w:sig w:usb0="20000207" w:usb1="2ADF3C10" w:usb2="00000016" w:usb3="00000000" w:csb0="00060107"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3AAEE" w14:textId="77777777" w:rsidR="00713835" w:rsidRPr="001E4FBB" w:rsidRDefault="00713835" w:rsidP="008C7F16">
    <w:pPr>
      <w:pStyle w:val="GBGreenPrintText"/>
    </w:pPr>
    <w:r w:rsidRPr="00865AE1">
      <w:t xml:space="preserve">Para reducir al mínimo el impacto ambiental de las actividades de la OIT, los documentos del Consejo de Administración que se publican antes o después de las reuniones no se imprimen. Solo se imprimen en tiradas limitadas y se distribuyen a los miembros del Consejo de Administración los documentos elaborados durante las reuniones. Todos los documentos del Consejo de Administración pueden consultarse en </w:t>
    </w:r>
    <w:hyperlink r:id="rId1" w:history="1">
      <w:r w:rsidRPr="00865AE1">
        <w:rPr>
          <w:rStyle w:val="GBHyperlink"/>
        </w:rPr>
        <w:t>www.ilo.org/gb</w:t>
      </w:r>
    </w:hyperlink>
    <w:r w:rsidRPr="001E4FBB">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7D8DF" w14:textId="77777777" w:rsidR="009930DD" w:rsidRPr="000D0F55" w:rsidRDefault="009930DD" w:rsidP="000D0F55">
      <w:pPr>
        <w:pStyle w:val="FootnoteSeparator"/>
      </w:pPr>
    </w:p>
  </w:footnote>
  <w:footnote w:type="continuationSeparator" w:id="0">
    <w:p w14:paraId="5CDF9A4F" w14:textId="77777777" w:rsidR="009930DD" w:rsidRDefault="009930DD" w:rsidP="00D83F6C">
      <w:pPr>
        <w:spacing w:line="240" w:lineRule="auto"/>
      </w:pPr>
      <w:r>
        <w:continuationSeparator/>
      </w:r>
    </w:p>
    <w:p w14:paraId="092FAEAE" w14:textId="77777777" w:rsidR="009930DD" w:rsidRDefault="009930DD"/>
    <w:p w14:paraId="054D04DC" w14:textId="77777777" w:rsidR="009930DD" w:rsidRDefault="009930DD"/>
    <w:p w14:paraId="76C00F83" w14:textId="77777777" w:rsidR="009930DD" w:rsidRDefault="009930DD"/>
    <w:p w14:paraId="411FF925" w14:textId="77777777" w:rsidR="009930DD" w:rsidRDefault="009930DD"/>
  </w:footnote>
  <w:footnote w:id="1">
    <w:p w14:paraId="05E8393B" w14:textId="77777777" w:rsidR="00E82512" w:rsidRPr="00BE5456" w:rsidRDefault="00E82512" w:rsidP="00972D21">
      <w:pPr>
        <w:pStyle w:val="FootnoteText"/>
        <w:rPr>
          <w:lang w:val="es-ES_tradnl"/>
        </w:rPr>
      </w:pPr>
      <w:bookmarkStart w:id="28" w:name="x_lt_pId438"/>
      <w:bookmarkStart w:id="29" w:name="lt_pId388"/>
      <w:bookmarkStart w:id="30" w:name="_Hlk220946251"/>
      <w:r w:rsidRPr="00BE5456">
        <w:rPr>
          <w:rStyle w:val="FootnoteReference"/>
          <w:lang w:val="es-ES_tradnl"/>
        </w:rPr>
        <w:footnoteRef/>
      </w:r>
      <w:r w:rsidRPr="00BE5456">
        <w:rPr>
          <w:lang w:val="es-ES_tradnl"/>
        </w:rPr>
        <w:t xml:space="preserve"> La selección de convenios actualizados se refiere a convenios superados que examinó el Grupo de trabajo tripartito del mecanismo de examen de las normas (GTT del MEN).</w:t>
      </w:r>
      <w:r>
        <w:rPr>
          <w:lang w:val="es-ES_tradnl"/>
        </w:rPr>
        <w:t xml:space="preserve"> </w:t>
      </w:r>
      <w:r w:rsidRPr="00BE5456">
        <w:rPr>
          <w:lang w:val="es-ES_tradnl"/>
        </w:rPr>
        <w:t>De acuerdo con su mandato de contribuir a asegurar que la OIT cuente con un corpus claro, sólido y actualizado de normas internacionales del trabajo, el GTT del MEN adoptó una serie de recomendaciones, refrendadas por el Consejo de Administración, en las que se clasifican varios instrumentos como superados y se insta a la ratificación, la promoción y la aplicación efectiva del instrumento o los instrumentos actualizados relativos a esos instrumentos superados, en particular en los Estados Miembros que siguen estando vinculados por ellos.</w:t>
      </w:r>
    </w:p>
    <w:bookmarkEnd w:id="28"/>
    <w:bookmarkEnd w:id="29"/>
    <w:bookmarkEnd w:id="30"/>
  </w:footnote>
  <w:footnote w:id="2">
    <w:p w14:paraId="38E8453B" w14:textId="6D6825B6" w:rsidR="00E82512" w:rsidRPr="00BE5456" w:rsidRDefault="00E82512" w:rsidP="00972D21">
      <w:pPr>
        <w:pStyle w:val="FootnoteText"/>
        <w:rPr>
          <w:lang w:val="es-ES_tradnl"/>
        </w:rPr>
      </w:pPr>
      <w:r w:rsidRPr="00BE5456">
        <w:rPr>
          <w:rStyle w:val="FootnoteReference"/>
          <w:lang w:val="es-ES_tradnl"/>
        </w:rPr>
        <w:footnoteRef/>
      </w:r>
      <w:r w:rsidRPr="00BE5456">
        <w:rPr>
          <w:lang w:val="es-ES_tradnl"/>
        </w:rPr>
        <w:t xml:space="preserve"> Las normas actualizadas son instrumentos que siguen cumpliendo su propósito. Son promovidas por la Oficina, son objeto de un seguimiento completo por parte de la Comisión de Expertos, y figuran en todas las publicaciones relativas a las normas. Véase </w:t>
      </w:r>
      <w:hyperlink r:id="rId1" w:history="1">
        <w:r w:rsidR="00846E31" w:rsidRPr="00846E31">
          <w:rPr>
            <w:rStyle w:val="GBHyperlink"/>
          </w:rPr>
          <w:t>Documento de información 4: Clasificación de los instrumentos y medidas de seguimiento</w:t>
        </w:r>
      </w:hyperlink>
      <w:r w:rsidRPr="00BE5456">
        <w:rPr>
          <w:lang w:val="es-ES_tradnl"/>
        </w:rPr>
        <w:t>, tercera reunión del GTT del MEN (2017), párr.10.</w:t>
      </w:r>
    </w:p>
  </w:footnote>
  <w:footnote w:id="3">
    <w:p w14:paraId="41B4B622" w14:textId="3F06242C" w:rsidR="00E82512" w:rsidRPr="00BE5456" w:rsidRDefault="00E82512" w:rsidP="00972D21">
      <w:pPr>
        <w:pStyle w:val="FootnoteText"/>
        <w:rPr>
          <w:lang w:val="es-ES_tradnl"/>
        </w:rPr>
      </w:pPr>
      <w:r w:rsidRPr="00BE5456">
        <w:rPr>
          <w:rStyle w:val="FootnoteReference"/>
          <w:lang w:val="es-ES_tradnl"/>
        </w:rPr>
        <w:footnoteRef/>
      </w:r>
      <w:r w:rsidRPr="00BE5456">
        <w:rPr>
          <w:lang w:val="es-ES_tradnl"/>
        </w:rPr>
        <w:t xml:space="preserve"> Las normas superadas son instrumentos que parecen haber perdido su propósito o que han dejado de aportar una contribución útil a la consecución de los objetivos de la Organización. </w:t>
      </w:r>
      <w:r w:rsidRPr="00846E31">
        <w:rPr>
          <w:lang w:val="es-ES_tradnl"/>
        </w:rPr>
        <w:t xml:space="preserve">Véanse </w:t>
      </w:r>
      <w:hyperlink r:id="rId2" w:history="1">
        <w:r w:rsidRPr="00846E31">
          <w:rPr>
            <w:rStyle w:val="GBHyperlink"/>
            <w:lang w:val="es-ES_tradnl"/>
          </w:rPr>
          <w:t>Normas internacionales del trabajo</w:t>
        </w:r>
        <w:r w:rsidR="002E3FF3" w:rsidRPr="00846E31">
          <w:rPr>
            <w:rStyle w:val="GBHyperlink"/>
            <w:lang w:val="es-ES_tradnl"/>
          </w:rPr>
          <w:t xml:space="preserve"> </w:t>
        </w:r>
        <w:r w:rsidRPr="00846E31">
          <w:rPr>
            <w:rStyle w:val="GBHyperlink"/>
            <w:lang w:val="es-ES_tradnl"/>
          </w:rPr>
          <w:t>-</w:t>
        </w:r>
        <w:r w:rsidR="002E3FF3" w:rsidRPr="00846E31">
          <w:rPr>
            <w:rStyle w:val="GBHyperlink"/>
            <w:lang w:val="es-ES_tradnl"/>
          </w:rPr>
          <w:t xml:space="preserve"> </w:t>
        </w:r>
        <w:r w:rsidRPr="00846E31">
          <w:rPr>
            <w:rStyle w:val="GBHyperlink"/>
            <w:lang w:val="es-ES_tradnl"/>
          </w:rPr>
          <w:t>Glosario</w:t>
        </w:r>
      </w:hyperlink>
      <w:r w:rsidRPr="00846E31">
        <w:rPr>
          <w:lang w:val="es-ES_tradnl"/>
        </w:rPr>
        <w:t>,</w:t>
      </w:r>
      <w:r w:rsidRPr="00BE5456">
        <w:rPr>
          <w:lang w:val="es-ES_tradnl"/>
        </w:rPr>
        <w:t xml:space="preserve"> y </w:t>
      </w:r>
      <w:hyperlink r:id="rId3" w:history="1">
        <w:r w:rsidR="00846E31" w:rsidRPr="00846E31">
          <w:rPr>
            <w:rStyle w:val="GBHyperlink"/>
          </w:rPr>
          <w:t>Documento de información 4: Clasificación de los instrumentos y medidas de seguimiento</w:t>
        </w:r>
      </w:hyperlink>
      <w:r w:rsidRPr="00BE5456">
        <w:rPr>
          <w:lang w:val="es-ES_tradnl"/>
        </w:rPr>
        <w:t>, tercera reunión del GTT del MEN (2017), párr. 11.</w:t>
      </w:r>
    </w:p>
  </w:footnote>
  <w:footnote w:id="4">
    <w:p w14:paraId="4CBC1E0D" w14:textId="77777777" w:rsidR="00E82512" w:rsidRPr="00BE5456" w:rsidRDefault="00E82512" w:rsidP="00972D21">
      <w:pPr>
        <w:pStyle w:val="FootnoteText"/>
        <w:rPr>
          <w:lang w:val="es-ES_tradnl"/>
        </w:rPr>
      </w:pPr>
      <w:r w:rsidRPr="00BE5456">
        <w:rPr>
          <w:rStyle w:val="FootnoteReference"/>
          <w:lang w:val="es-ES_tradnl"/>
        </w:rPr>
        <w:footnoteRef/>
      </w:r>
      <w:r w:rsidRPr="00BE5456">
        <w:rPr>
          <w:lang w:val="es-ES_tradnl"/>
        </w:rPr>
        <w:t xml:space="preserve"> El GTT del MEN recomendó que, en una serie de casos, se realicen encuestas destinadas a recabar información pertinente para la ratificación de determinados instrumentos actualizados, en particular respecto a posibles retos y obstáculos, a fin de definir medidas concretas para alentar la ratificación. Véase </w:t>
      </w:r>
      <w:hyperlink r:id="rId4" w:history="1">
        <w:r w:rsidRPr="00BE5456">
          <w:rPr>
            <w:rStyle w:val="GBHyperlink"/>
            <w:lang w:val="es-ES_tradnl"/>
          </w:rPr>
          <w:t>GB.352/LILS/3</w:t>
        </w:r>
      </w:hyperlink>
      <w:r w:rsidRPr="00BE5456">
        <w:rPr>
          <w:lang w:val="es-ES_tradnl"/>
        </w:rPr>
        <w:t>.</w:t>
      </w:r>
    </w:p>
  </w:footnote>
  <w:footnote w:id="5">
    <w:p w14:paraId="67D9C18C" w14:textId="77777777" w:rsidR="00E82512" w:rsidRPr="00BE5456" w:rsidRDefault="00E82512" w:rsidP="00972D21">
      <w:pPr>
        <w:pStyle w:val="FootnoteText"/>
        <w:rPr>
          <w:lang w:val="es-ES_tradnl"/>
        </w:rPr>
      </w:pPr>
      <w:r w:rsidRPr="00BE5456">
        <w:rPr>
          <w:rStyle w:val="FootnoteReference"/>
          <w:lang w:val="es-ES_tradnl"/>
        </w:rPr>
        <w:footnoteRef/>
      </w:r>
      <w:r w:rsidRPr="00BE5456">
        <w:rPr>
          <w:lang w:val="es-ES_tradnl"/>
        </w:rPr>
        <w:t xml:space="preserve"> Informe de la novena reunión del GTT del MEN, 2024, </w:t>
      </w:r>
      <w:hyperlink r:id="rId5" w:history="1">
        <w:r w:rsidRPr="00BE5456">
          <w:rPr>
            <w:rStyle w:val="GBHyperlink"/>
            <w:lang w:val="es-ES_tradnl"/>
          </w:rPr>
          <w:t>GB.352/LILS/3</w:t>
        </w:r>
      </w:hyperlink>
      <w:r w:rsidRPr="00BE5456">
        <w:rPr>
          <w:lang w:val="es-ES_tradnl"/>
        </w:rPr>
        <w:t>, anexo I, párr. 7.</w:t>
      </w:r>
    </w:p>
  </w:footnote>
  <w:footnote w:id="6">
    <w:p w14:paraId="27E2F61F" w14:textId="77777777" w:rsidR="00E82512" w:rsidRPr="00BE5456" w:rsidRDefault="00E82512" w:rsidP="00972D21">
      <w:pPr>
        <w:pStyle w:val="FootnoteText"/>
        <w:rPr>
          <w:lang w:val="es-ES_tradnl"/>
        </w:rPr>
      </w:pPr>
      <w:r w:rsidRPr="00BE5456">
        <w:rPr>
          <w:rStyle w:val="FootnoteReference"/>
          <w:lang w:val="es-ES_tradnl"/>
        </w:rPr>
        <w:footnoteRef/>
      </w:r>
      <w:r w:rsidRPr="00BE5456">
        <w:rPr>
          <w:lang w:val="es-ES_tradnl"/>
        </w:rPr>
        <w:t xml:space="preserve"> </w:t>
      </w:r>
      <w:hyperlink r:id="rId6" w:history="1">
        <w:hyperlink r:id="rId7" w:history="1">
          <w:r w:rsidRPr="00BE5456">
            <w:rPr>
              <w:rStyle w:val="GBHyperlink"/>
              <w:lang w:val="es-ES_tradnl"/>
            </w:rPr>
            <w:t>GB.352/PV</w:t>
          </w:r>
        </w:hyperlink>
      </w:hyperlink>
      <w:r w:rsidRPr="00BE5456">
        <w:rPr>
          <w:lang w:val="es-ES_tradnl"/>
        </w:rPr>
        <w:t>, párr. 1135. Entre las recomendaciones aprobadas también figuraba la de inscribir, en el orden del día de la 118.ª reunión de la Conferencia Internacional del Trabajo (2030), un punto relativo a la derogación del Convenio núm. 112.</w:t>
      </w:r>
      <w:r w:rsidRPr="00BE5456">
        <w:rPr>
          <w:color w:val="auto"/>
          <w:lang w:val="es-ES_tradnl"/>
        </w:rPr>
        <w:t xml:space="preserve"> En su 353.ª reunión (marzo de 2025), el Consejo de Administración decidió inscribir, en el orden del día de la 118.ª reunión de la Conferencia (2030), un punto relativo a la derogación del Convenio núm. 112 e invitó a los cuatro Estados Miembros en los que el Convenio núm. 112 seguía en vigor a que aplicasen de forma efectiva el Convenio sobre la edad mínima, 1973 (núm. 138) y el Convenio sobre las peores formas de trabajo infantil, 1999 (núm. 182), con la asistencia técnica de la Oficina. </w:t>
      </w:r>
      <w:hyperlink r:id="rId8" w:history="1">
        <w:r w:rsidRPr="00BE5456">
          <w:rPr>
            <w:rStyle w:val="GBHyperlink"/>
            <w:lang w:val="es-ES_tradnl"/>
          </w:rPr>
          <w:t>GB.353/PV</w:t>
        </w:r>
      </w:hyperlink>
      <w:r w:rsidRPr="00BE5456">
        <w:rPr>
          <w:color w:val="auto"/>
          <w:lang w:val="es-ES_tradnl"/>
        </w:rPr>
        <w:t xml:space="preserve">, párr. 52, </w:t>
      </w:r>
      <w:r w:rsidRPr="00BE5456">
        <w:rPr>
          <w:i/>
          <w:iCs/>
          <w:color w:val="auto"/>
          <w:lang w:val="es-ES_tradnl"/>
        </w:rPr>
        <w:t>d).</w:t>
      </w:r>
    </w:p>
  </w:footnote>
  <w:footnote w:id="7">
    <w:p w14:paraId="4908CA12" w14:textId="77777777" w:rsidR="00E82512" w:rsidRPr="00BE5456" w:rsidRDefault="00E82512" w:rsidP="00972D21">
      <w:pPr>
        <w:pStyle w:val="FootnoteText"/>
        <w:rPr>
          <w:lang w:val="es-ES_tradnl"/>
        </w:rPr>
      </w:pPr>
      <w:r w:rsidRPr="00BE5456">
        <w:rPr>
          <w:rStyle w:val="FootnoteReference"/>
          <w:lang w:val="es-ES_tradnl"/>
        </w:rPr>
        <w:footnoteRef/>
      </w:r>
      <w:r w:rsidRPr="00BE5456">
        <w:rPr>
          <w:lang w:val="es-ES_tradnl"/>
        </w:rPr>
        <w:t xml:space="preserve"> Informe de la novena reunión del GTT del MEN, 2024, </w:t>
      </w:r>
      <w:hyperlink r:id="rId9" w:history="1">
        <w:r w:rsidRPr="00BE5456">
          <w:rPr>
            <w:rStyle w:val="GBHyperlink"/>
            <w:lang w:val="es-ES_tradnl"/>
          </w:rPr>
          <w:t>GB.352/LILS/3</w:t>
        </w:r>
      </w:hyperlink>
      <w:r w:rsidRPr="00BE5456">
        <w:rPr>
          <w:lang w:val="es-ES_tradnl"/>
        </w:rPr>
        <w:t>, anexo I, párr. 8.</w:t>
      </w:r>
    </w:p>
  </w:footnote>
  <w:footnote w:id="8">
    <w:p w14:paraId="713CE0F7" w14:textId="77777777" w:rsidR="00E82512" w:rsidRPr="00BE5456" w:rsidRDefault="00E82512" w:rsidP="00972D21">
      <w:pPr>
        <w:pStyle w:val="FootnoteText"/>
        <w:rPr>
          <w:lang w:val="es-ES_tradnl"/>
        </w:rPr>
      </w:pPr>
      <w:r w:rsidRPr="00BE5456">
        <w:rPr>
          <w:rStyle w:val="FootnoteReference"/>
          <w:lang w:val="es-ES_tradnl"/>
        </w:rPr>
        <w:footnoteRef/>
      </w:r>
      <w:r w:rsidRPr="00BE5456">
        <w:rPr>
          <w:lang w:val="es-ES_tradnl"/>
        </w:rPr>
        <w:t xml:space="preserve"> </w:t>
      </w:r>
      <w:hyperlink r:id="rId10" w:history="1">
        <w:r w:rsidRPr="00BE5456">
          <w:rPr>
            <w:rStyle w:val="GBHyperlink"/>
            <w:lang w:val="es-ES_tradnl"/>
          </w:rPr>
          <w:t>GB.352/PV</w:t>
        </w:r>
      </w:hyperlink>
      <w:r w:rsidRPr="00BE5456">
        <w:rPr>
          <w:lang w:val="es-ES_tradnl"/>
        </w:rPr>
        <w:t>, párr. 1135.</w:t>
      </w:r>
    </w:p>
  </w:footnote>
  <w:footnote w:id="9">
    <w:p w14:paraId="478F480F" w14:textId="77777777" w:rsidR="00E82512" w:rsidRPr="00BE5456" w:rsidRDefault="00E82512" w:rsidP="00972D21">
      <w:pPr>
        <w:pStyle w:val="FootnoteText"/>
        <w:rPr>
          <w:lang w:val="es-ES_tradnl"/>
        </w:rPr>
      </w:pPr>
      <w:r w:rsidRPr="00BE5456">
        <w:rPr>
          <w:rStyle w:val="FootnoteReference"/>
          <w:lang w:val="es-ES_tradnl"/>
        </w:rPr>
        <w:footnoteRef/>
      </w:r>
      <w:r w:rsidRPr="00BE5456">
        <w:rPr>
          <w:lang w:val="es-ES_tradnl"/>
        </w:rPr>
        <w:t xml:space="preserve"> Informe de la novena reunión del GTT del MEN, 2024, </w:t>
      </w:r>
      <w:hyperlink r:id="rId11" w:history="1">
        <w:r w:rsidRPr="00BE5456">
          <w:rPr>
            <w:rStyle w:val="GBHyperlink"/>
            <w:lang w:val="es-ES_tradnl"/>
          </w:rPr>
          <w:t>GB.352/LILS/3</w:t>
        </w:r>
      </w:hyperlink>
      <w:r w:rsidRPr="00BE5456">
        <w:rPr>
          <w:lang w:val="es-ES_tradnl"/>
        </w:rPr>
        <w:t>, anexo I, párr. 13.</w:t>
      </w:r>
    </w:p>
  </w:footnote>
  <w:footnote w:id="10">
    <w:p w14:paraId="5ECC49AE" w14:textId="77777777" w:rsidR="00E82512" w:rsidRPr="00BE5456" w:rsidRDefault="00E82512" w:rsidP="00972D21">
      <w:pPr>
        <w:pStyle w:val="FootnoteText"/>
        <w:rPr>
          <w:lang w:val="es-ES_tradnl"/>
        </w:rPr>
      </w:pPr>
      <w:r w:rsidRPr="00BE5456">
        <w:rPr>
          <w:rStyle w:val="FootnoteReference"/>
          <w:lang w:val="es-ES_tradnl"/>
        </w:rPr>
        <w:footnoteRef/>
      </w:r>
      <w:r w:rsidRPr="00BE5456">
        <w:rPr>
          <w:lang w:val="es-ES_tradnl"/>
        </w:rPr>
        <w:t xml:space="preserve"> GB.352/PV, párr. 1135.</w:t>
      </w:r>
    </w:p>
  </w:footnote>
  <w:footnote w:id="11">
    <w:p w14:paraId="5E337712" w14:textId="77777777" w:rsidR="00E82512" w:rsidRPr="00BE5456" w:rsidRDefault="00E82512" w:rsidP="00972D21">
      <w:pPr>
        <w:pStyle w:val="FootnoteText"/>
        <w:rPr>
          <w:lang w:val="es-ES_tradnl"/>
        </w:rPr>
      </w:pPr>
      <w:r w:rsidRPr="00BE5456">
        <w:rPr>
          <w:rStyle w:val="FootnoteReference"/>
          <w:lang w:val="es-ES_tradnl"/>
        </w:rPr>
        <w:footnoteRef/>
      </w:r>
      <w:r w:rsidRPr="00BE5456">
        <w:rPr>
          <w:lang w:val="es-ES_tradnl"/>
        </w:rPr>
        <w:t xml:space="preserve"> Informe de la octava reunión del GTT del MEN, 2023, </w:t>
      </w:r>
      <w:hyperlink r:id="rId12" w:history="1">
        <w:r w:rsidRPr="00BE5456">
          <w:rPr>
            <w:rStyle w:val="GBHyperlink"/>
            <w:lang w:val="es-ES_tradnl"/>
          </w:rPr>
          <w:t>GB.349/LILS/1</w:t>
        </w:r>
      </w:hyperlink>
      <w:r w:rsidRPr="00BE5456">
        <w:rPr>
          <w:lang w:val="es-ES_tradnl"/>
        </w:rPr>
        <w:t>, anexo I, párr. 7.</w:t>
      </w:r>
    </w:p>
  </w:footnote>
  <w:footnote w:id="12">
    <w:p w14:paraId="776BC5BA" w14:textId="77777777" w:rsidR="00E82512" w:rsidRPr="00BE5456" w:rsidRDefault="00E82512" w:rsidP="00972D21">
      <w:pPr>
        <w:pStyle w:val="FootnoteText"/>
        <w:rPr>
          <w:spacing w:val="2"/>
          <w:lang w:val="es-ES_tradnl"/>
        </w:rPr>
      </w:pPr>
      <w:r w:rsidRPr="00BE5456">
        <w:rPr>
          <w:rStyle w:val="FootnoteReference"/>
          <w:spacing w:val="2"/>
          <w:lang w:val="es-ES_tradnl"/>
        </w:rPr>
        <w:footnoteRef/>
      </w:r>
      <w:r w:rsidRPr="00BE5456">
        <w:rPr>
          <w:spacing w:val="2"/>
          <w:lang w:val="es-ES_tradnl"/>
        </w:rPr>
        <w:t xml:space="preserve"> </w:t>
      </w:r>
      <w:hyperlink r:id="rId13" w:history="1">
        <w:r w:rsidRPr="00BE5456">
          <w:rPr>
            <w:rStyle w:val="GBHyperlink"/>
            <w:spacing w:val="2"/>
            <w:lang w:val="es-ES_tradnl"/>
          </w:rPr>
          <w:t>GB.349/PV (Rev. 1)</w:t>
        </w:r>
      </w:hyperlink>
      <w:r w:rsidRPr="00BE5456">
        <w:rPr>
          <w:spacing w:val="2"/>
          <w:lang w:val="es-ES_tradnl"/>
        </w:rPr>
        <w:t>, párr. 991.</w:t>
      </w:r>
      <w:r w:rsidRPr="00BE5456">
        <w:rPr>
          <w:color w:val="auto"/>
          <w:spacing w:val="2"/>
          <w:lang w:val="es-ES_tradnl"/>
        </w:rPr>
        <w:t xml:space="preserve"> Entre las recomendaciones aprobadas figuraba también la inscripción, en el orden del día de la 121.ª reunión de la Conferencia Internacional del Trabajo (2033), de un punto relativo a la derogación del Convenio sobre la protección de la maternidad, 1919 (núm. 3) y el Convenio sobre la protección de la maternidad (revisado), 1952 (núm. 103), sujeta a la realización, en 2028, de una evaluación para determinar si los Estados Miembros con ratificaciones efectivas de esos Convenios superados habían adoptado las medidas necesarias para ratificar el Convenio núm. 183. En su 350.ª reunión (marzo de 2024), el Consejo de Administración decidió inscribir, en el orden del día de la 121.ª reunión de la Conferencia Internacional del Trabajo (2033), un punto relativo a la derogación de los Convenios núms. 3 y 103, a reserva de que el Consejo de Administración estimara oportuno reconsiderar la fecha después de proceder a una evaluación en 2028. </w:t>
      </w:r>
      <w:hyperlink r:id="rId14" w:history="1">
        <w:r w:rsidRPr="00BE5456">
          <w:rPr>
            <w:rStyle w:val="GBHyperlink"/>
            <w:spacing w:val="2"/>
            <w:lang w:val="es-ES_tradnl"/>
          </w:rPr>
          <w:t>GB.350/PV</w:t>
        </w:r>
      </w:hyperlink>
      <w:r w:rsidRPr="00BE5456">
        <w:rPr>
          <w:spacing w:val="2"/>
          <w:lang w:val="es-ES_tradnl"/>
        </w:rPr>
        <w:t xml:space="preserve">, párr. 80, </w:t>
      </w:r>
      <w:r w:rsidRPr="00BE5456">
        <w:rPr>
          <w:i/>
          <w:iCs/>
          <w:spacing w:val="2"/>
          <w:lang w:val="es-ES_tradnl"/>
        </w:rPr>
        <w:t>e)</w:t>
      </w:r>
      <w:r w:rsidRPr="00BE5456">
        <w:rPr>
          <w:spacing w:val="2"/>
          <w:lang w:val="es-ES_tradnl"/>
        </w:rPr>
        <w:t>, iii).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1616512"/>
      <w:docPartObj>
        <w:docPartGallery w:val="Page Numbers (Top of Page)"/>
        <w:docPartUnique/>
      </w:docPartObj>
    </w:sdtPr>
    <w:sdtEndPr>
      <w:rPr>
        <w:noProof/>
      </w:rPr>
    </w:sdtEndPr>
    <w:sdtContent>
      <w:p w14:paraId="3357E167" w14:textId="78C660BA" w:rsidR="00AE2FE5" w:rsidRDefault="00AE2FE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000FB76" w14:textId="77777777" w:rsidR="00713835" w:rsidRPr="009E5F34" w:rsidRDefault="00713835" w:rsidP="00B17AD1">
    <w:pPr>
      <w:pStyle w:val="GB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2" w:type="dxa"/>
      <w:tblLayout w:type="fixed"/>
      <w:tblCellMar>
        <w:left w:w="0" w:type="dxa"/>
        <w:right w:w="0" w:type="dxa"/>
      </w:tblCellMar>
      <w:tblLook w:val="04A0" w:firstRow="1" w:lastRow="0" w:firstColumn="1" w:lastColumn="0" w:noHBand="0" w:noVBand="1"/>
      <w:tblCaption w:val="SEC"/>
    </w:tblPr>
    <w:tblGrid>
      <w:gridCol w:w="7654"/>
      <w:gridCol w:w="3118"/>
    </w:tblGrid>
    <w:tr w:rsidR="00713835" w:rsidRPr="005A64D3" w14:paraId="2F69C327" w14:textId="77777777" w:rsidTr="00F32B4C">
      <w:trPr>
        <w:trHeight w:val="113"/>
      </w:trPr>
      <w:tc>
        <w:tcPr>
          <w:tcW w:w="7654" w:type="dxa"/>
          <w:vMerge w:val="restart"/>
        </w:tcPr>
        <w:p w14:paraId="617153A6" w14:textId="77777777" w:rsidR="00713835" w:rsidRPr="005A64D3" w:rsidRDefault="00713835" w:rsidP="005A64D3">
          <w:pPr>
            <w:spacing w:before="180"/>
          </w:pPr>
          <w:r>
            <w:rPr>
              <w:noProof/>
            </w:rPr>
            <w:drawing>
              <wp:anchor distT="0" distB="0" distL="114300" distR="114300" simplePos="0" relativeHeight="251661312" behindDoc="0" locked="0" layoutInCell="1" allowOverlap="1" wp14:anchorId="69A4EF83" wp14:editId="77855CBD">
                <wp:simplePos x="0" y="0"/>
                <wp:positionH relativeFrom="column">
                  <wp:posOffset>0</wp:posOffset>
                </wp:positionH>
                <wp:positionV relativeFrom="paragraph">
                  <wp:posOffset>145746</wp:posOffset>
                </wp:positionV>
                <wp:extent cx="1692000" cy="601200"/>
                <wp:effectExtent l="0" t="0" r="3810" b="8890"/>
                <wp:wrapSquare wrapText="bothSides"/>
                <wp:docPr id="81893581" name="Gráfico 1332893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601200"/>
                        </a:xfrm>
                        <a:prstGeom prst="rect">
                          <a:avLst/>
                        </a:prstGeom>
                      </pic:spPr>
                    </pic:pic>
                  </a:graphicData>
                </a:graphic>
                <wp14:sizeRelH relativeFrom="margin">
                  <wp14:pctWidth>0</wp14:pctWidth>
                </wp14:sizeRelH>
                <wp14:sizeRelV relativeFrom="margin">
                  <wp14:pctHeight>0</wp14:pctHeight>
                </wp14:sizeRelV>
              </wp:anchor>
            </w:drawing>
          </w:r>
        </w:p>
      </w:tc>
      <w:tc>
        <w:tcPr>
          <w:tcW w:w="3118" w:type="dxa"/>
          <w:vAlign w:val="bottom"/>
        </w:tcPr>
        <w:p w14:paraId="53A300FD" w14:textId="77777777" w:rsidR="00713835" w:rsidRPr="005A64D3" w:rsidRDefault="00713835" w:rsidP="005A64D3">
          <w:pPr>
            <w:rPr>
              <w:b/>
            </w:rPr>
          </w:pPr>
        </w:p>
      </w:tc>
    </w:tr>
    <w:tr w:rsidR="00713835" w:rsidRPr="0053754B" w14:paraId="21098CBB" w14:textId="77777777" w:rsidTr="00F32B4C">
      <w:trPr>
        <w:trHeight w:val="374"/>
      </w:trPr>
      <w:tc>
        <w:tcPr>
          <w:tcW w:w="7654" w:type="dxa"/>
          <w:vMerge/>
        </w:tcPr>
        <w:p w14:paraId="07706F76" w14:textId="77777777" w:rsidR="00713835" w:rsidRPr="005A64D3" w:rsidRDefault="00713835" w:rsidP="005A64D3"/>
      </w:tc>
      <w:tc>
        <w:tcPr>
          <w:tcW w:w="3118" w:type="dxa"/>
          <w:shd w:val="clear" w:color="auto" w:fill="1E2DBE"/>
          <w:vAlign w:val="bottom"/>
        </w:tcPr>
        <w:p w14:paraId="7F70AF7F" w14:textId="77777777" w:rsidR="00713835" w:rsidRPr="00E65833" w:rsidRDefault="00713835" w:rsidP="004C4A1D">
          <w:pPr>
            <w:pStyle w:val="GBDocCode"/>
          </w:pPr>
          <w:r w:rsidRPr="004C4A1D">
            <w:t>GB.356/LILS/3</w:t>
          </w:r>
        </w:p>
      </w:tc>
    </w:tr>
    <w:tr w:rsidR="00713835" w:rsidRPr="005C6E7A" w14:paraId="164D24C3" w14:textId="77777777" w:rsidTr="00F32B4C">
      <w:trPr>
        <w:trHeight w:val="400"/>
      </w:trPr>
      <w:tc>
        <w:tcPr>
          <w:tcW w:w="7654" w:type="dxa"/>
          <w:vMerge/>
        </w:tcPr>
        <w:p w14:paraId="0668A380" w14:textId="77777777" w:rsidR="00713835" w:rsidRPr="0053754B" w:rsidRDefault="00713835" w:rsidP="005A64D3"/>
      </w:tc>
      <w:tc>
        <w:tcPr>
          <w:tcW w:w="3118" w:type="dxa"/>
        </w:tcPr>
        <w:p w14:paraId="77551680" w14:textId="77777777" w:rsidR="00713835" w:rsidRPr="0053754B" w:rsidRDefault="00713835" w:rsidP="005A64D3"/>
      </w:tc>
    </w:tr>
  </w:tbl>
  <w:p w14:paraId="288814D9" w14:textId="77777777" w:rsidR="00713835" w:rsidRPr="0053754B" w:rsidRDefault="00713835" w:rsidP="00B17AD1">
    <w:pPr>
      <w:pStyle w:val="GB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AFE"/>
    <w:multiLevelType w:val="multilevel"/>
    <w:tmpl w:val="5C8CFC42"/>
    <w:numStyleLink w:val="listBoxnumberedlettersFS"/>
  </w:abstractNum>
  <w:abstractNum w:abstractNumId="1" w15:restartNumberingAfterBreak="0">
    <w:nsid w:val="04DF0553"/>
    <w:multiLevelType w:val="multilevel"/>
    <w:tmpl w:val="1CC03FA6"/>
    <w:styleLink w:val="GBlist-AppendixParaNum"/>
    <w:lvl w:ilvl="0">
      <w:start w:val="1"/>
      <w:numFmt w:val="decimal"/>
      <w:pStyle w:val="GBParaNumnotboldAppendix"/>
      <w:lvlText w:val="%1."/>
      <w:lvlJc w:val="left"/>
      <w:pPr>
        <w:ind w:left="851" w:hanging="511"/>
      </w:pPr>
      <w:rPr>
        <w:rFonts w:ascii="Noto Sans" w:eastAsia="Noto Sans SC Regular" w:hAnsi="Noto Sans" w:cs="Noto Sans" w:hint="default"/>
        <w:b w:val="0"/>
        <w:bCs w:val="0"/>
        <w:i w:val="0"/>
        <w:iCs w:val="0"/>
        <w:caps w:val="0"/>
        <w:strike w:val="0"/>
        <w:dstrike w:val="0"/>
        <w:outline w:val="0"/>
        <w:shadow w:val="0"/>
        <w:emboss w:val="0"/>
        <w:imprint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304" w:hanging="453"/>
      </w:pPr>
      <w:rPr>
        <w:rFonts w:hint="default"/>
        <w:b w:val="0"/>
        <w:bCs w:val="0"/>
        <w:i/>
        <w:iCs/>
        <w:sz w:val="20"/>
        <w:szCs w:val="20"/>
      </w:rPr>
    </w:lvl>
    <w:lvl w:ilvl="2">
      <w:start w:val="1"/>
      <w:numFmt w:val="lowerRoman"/>
      <w:lvlText w:val="%3)"/>
      <w:lvlJc w:val="righ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9217418"/>
    <w:multiLevelType w:val="multilevel"/>
    <w:tmpl w:val="9552D136"/>
    <w:styleLink w:val="GBlist-Table-Box-Graphictitle"/>
    <w:lvl w:ilvl="0">
      <w:start w:val="1"/>
      <w:numFmt w:val="bullet"/>
      <w:pStyle w:val="GBTableTitleS"/>
      <w:lvlText w:val=""/>
      <w:lvlJc w:val="left"/>
      <w:pPr>
        <w:ind w:left="567" w:hanging="227"/>
      </w:pPr>
      <w:rPr>
        <w:rFonts w:ascii="Wingdings 3" w:hAnsi="Wingdings 3" w:cs="Wingdings 3" w:hint="default"/>
        <w:b w:val="0"/>
        <w:bCs w:val="0"/>
        <w:i w:val="0"/>
        <w:iCs w:val="0"/>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3" w15:restartNumberingAfterBreak="0">
    <w:nsid w:val="0F724CE7"/>
    <w:multiLevelType w:val="multilevel"/>
    <w:tmpl w:val="9552D136"/>
    <w:numStyleLink w:val="GBlist-Table-Box-Graphictitle"/>
  </w:abstractNum>
  <w:abstractNum w:abstractNumId="4" w15:restartNumberingAfterBreak="0">
    <w:nsid w:val="10FD6BB1"/>
    <w:multiLevelType w:val="multilevel"/>
    <w:tmpl w:val="E4A2BBBC"/>
    <w:styleLink w:val="GBlist-Header"/>
    <w:lvl w:ilvl="0">
      <w:start w:val="1"/>
      <w:numFmt w:val="bullet"/>
      <w:pStyle w:val="GBHeader"/>
      <w:lvlText w:val=""/>
      <w:lvlJc w:val="left"/>
      <w:pPr>
        <w:ind w:left="227" w:hanging="227"/>
      </w:pPr>
      <w:rPr>
        <w:rFonts w:ascii="Wingdings 3" w:hAnsi="Wingdings 3" w:cs="Times New Roman" w:hint="default"/>
        <w:color w:val="1E2DBE"/>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4757E6B"/>
    <w:multiLevelType w:val="multilevel"/>
    <w:tmpl w:val="AE0CA018"/>
    <w:numStyleLink w:val="listTablebullets"/>
  </w:abstractNum>
  <w:abstractNum w:abstractNumId="6" w15:restartNumberingAfterBreak="0">
    <w:nsid w:val="1A5C77EE"/>
    <w:multiLevelType w:val="multilevel"/>
    <w:tmpl w:val="AE0CA018"/>
    <w:styleLink w:val="listTablebullets"/>
    <w:lvl w:ilvl="0">
      <w:start w:val="1"/>
      <w:numFmt w:val="bullet"/>
      <w:pStyle w:val="TableIndentbluebulletlist1"/>
      <w:lvlText w:val=""/>
      <w:lvlJc w:val="left"/>
      <w:pPr>
        <w:ind w:left="340" w:hanging="340"/>
      </w:pPr>
      <w:rPr>
        <w:rFonts w:ascii="Symbol" w:hAnsi="Symbol" w:cs="Symbol" w:hint="default"/>
        <w:b w:val="0"/>
        <w:i w:val="0"/>
        <w:color w:val="1E2DBE"/>
        <w:sz w:val="22"/>
        <w:szCs w:val="22"/>
      </w:rPr>
    </w:lvl>
    <w:lvl w:ilvl="1">
      <w:start w:val="1"/>
      <w:numFmt w:val="bullet"/>
      <w:pStyle w:val="TableIndentbluebulletlist2"/>
      <w:lvlText w:val=""/>
      <w:lvlJc w:val="left"/>
      <w:pPr>
        <w:ind w:left="680" w:hanging="340"/>
      </w:pPr>
      <w:rPr>
        <w:rFonts w:ascii="Symbol" w:hAnsi="Symbol" w:cs="Symbol" w:hint="default"/>
        <w:color w:val="1E2DBE"/>
        <w:szCs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C103EE5"/>
    <w:multiLevelType w:val="multilevel"/>
    <w:tmpl w:val="256E6EE6"/>
    <w:styleLink w:val="GBlist-DecisionsublevelsFS"/>
    <w:lvl w:ilvl="0">
      <w:start w:val="1"/>
      <w:numFmt w:val="lowerLetter"/>
      <w:pStyle w:val="GBDecisionSub1ParaS"/>
      <w:lvlText w:val="%1)"/>
      <w:lvlJc w:val="left"/>
      <w:pPr>
        <w:ind w:left="1304" w:hanging="453"/>
      </w:pPr>
      <w:rPr>
        <w:rFonts w:ascii="Noto Sans" w:hAnsi="Noto Sans" w:cs="Noto Sans" w:hint="default"/>
        <w:b/>
        <w:bCs w:val="0"/>
        <w:i/>
        <w:iCs/>
        <w:color w:val="auto"/>
        <w:sz w:val="20"/>
        <w:szCs w:val="20"/>
      </w:rPr>
    </w:lvl>
    <w:lvl w:ilvl="1">
      <w:start w:val="1"/>
      <w:numFmt w:val="lowerRoman"/>
      <w:pStyle w:val="GBDecisionSub2ParaS"/>
      <w:lvlText w:val="%2)"/>
      <w:lvlJc w:val="left"/>
      <w:pPr>
        <w:ind w:left="1814" w:hanging="510"/>
      </w:pPr>
      <w:rPr>
        <w:rFonts w:ascii="Noto Sans" w:eastAsia="Noto Sans SC Regular" w:hAnsi="Noto Sans" w:cs="Noto Sans" w:hint="default"/>
        <w:b/>
        <w:bCs/>
        <w:i w:val="0"/>
        <w:iCs w:val="0"/>
        <w:sz w:val="20"/>
        <w:szCs w:val="20"/>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8" w15:restartNumberingAfterBreak="0">
    <w:nsid w:val="1C187879"/>
    <w:multiLevelType w:val="multilevel"/>
    <w:tmpl w:val="AE0CA018"/>
    <w:styleLink w:val="Tablebullets"/>
    <w:lvl w:ilvl="0">
      <w:start w:val="1"/>
      <w:numFmt w:val="bullet"/>
      <w:lvlText w:val=""/>
      <w:lvlJc w:val="left"/>
      <w:pPr>
        <w:ind w:left="340" w:hanging="340"/>
      </w:pPr>
      <w:rPr>
        <w:rFonts w:ascii="Symbol" w:hAnsi="Symbol" w:cs="Symbol" w:hint="default"/>
        <w:b w:val="0"/>
        <w:i w:val="0"/>
        <w:color w:val="1E2DBE"/>
        <w:sz w:val="22"/>
        <w:szCs w:val="22"/>
      </w:rPr>
    </w:lvl>
    <w:lvl w:ilvl="1">
      <w:start w:val="1"/>
      <w:numFmt w:val="bullet"/>
      <w:lvlText w:val=""/>
      <w:lvlJc w:val="left"/>
      <w:pPr>
        <w:ind w:left="680" w:hanging="340"/>
      </w:pPr>
      <w:rPr>
        <w:rFonts w:ascii="Symbol" w:hAnsi="Symbol" w:cs="Symbol" w:hint="default"/>
        <w:color w:val="1E2DBE"/>
        <w:szCs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050546"/>
    <w:multiLevelType w:val="multilevel"/>
    <w:tmpl w:val="1CC03FA6"/>
    <w:numStyleLink w:val="GBlist-AppendixParaNum"/>
  </w:abstractNum>
  <w:abstractNum w:abstractNumId="10" w15:restartNumberingAfterBreak="0">
    <w:nsid w:val="20272743"/>
    <w:multiLevelType w:val="multilevel"/>
    <w:tmpl w:val="1C8A4D2C"/>
    <w:numStyleLink w:val="listBoxbullets"/>
  </w:abstractNum>
  <w:abstractNum w:abstractNumId="11" w15:restartNumberingAfterBreak="0">
    <w:nsid w:val="266C3F51"/>
    <w:multiLevelType w:val="multilevel"/>
    <w:tmpl w:val="162AB45C"/>
    <w:lvl w:ilvl="0">
      <w:start w:val="5"/>
      <w:numFmt w:val="bullet"/>
      <w:lvlText w:val=""/>
      <w:lvlJc w:val="left"/>
      <w:pPr>
        <w:ind w:left="340" w:hanging="340"/>
      </w:pPr>
      <w:rPr>
        <w:rFonts w:ascii="Wingdings 3" w:hAnsi="Wingdings 3" w:cs="Times New Roman" w:hint="default"/>
        <w:color w:val="FA3C4B"/>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D7A6CEC"/>
    <w:multiLevelType w:val="multilevel"/>
    <w:tmpl w:val="85CA12AA"/>
    <w:numStyleLink w:val="GBlist-Appendixbullets"/>
  </w:abstractNum>
  <w:abstractNum w:abstractNumId="13" w15:restartNumberingAfterBreak="0">
    <w:nsid w:val="33DA68B9"/>
    <w:multiLevelType w:val="hybridMultilevel"/>
    <w:tmpl w:val="C11CD30E"/>
    <w:lvl w:ilvl="0" w:tplc="804C7488">
      <w:start w:val="1"/>
      <w:numFmt w:val="bullet"/>
      <w:lvlText w:val=""/>
      <w:lvlJc w:val="left"/>
      <w:pPr>
        <w:ind w:left="720" w:hanging="360"/>
      </w:pPr>
      <w:rPr>
        <w:rFonts w:ascii="Symbol" w:hAnsi="Symbol" w:hint="default"/>
      </w:rPr>
    </w:lvl>
    <w:lvl w:ilvl="1" w:tplc="F89E5EA8" w:tentative="1">
      <w:start w:val="1"/>
      <w:numFmt w:val="bullet"/>
      <w:lvlText w:val="o"/>
      <w:lvlJc w:val="left"/>
      <w:pPr>
        <w:ind w:left="1440" w:hanging="360"/>
      </w:pPr>
      <w:rPr>
        <w:rFonts w:ascii="Courier New" w:hAnsi="Courier New" w:cs="Courier New" w:hint="default"/>
      </w:rPr>
    </w:lvl>
    <w:lvl w:ilvl="2" w:tplc="D786B3CE" w:tentative="1">
      <w:start w:val="1"/>
      <w:numFmt w:val="bullet"/>
      <w:lvlText w:val=""/>
      <w:lvlJc w:val="left"/>
      <w:pPr>
        <w:ind w:left="2160" w:hanging="360"/>
      </w:pPr>
      <w:rPr>
        <w:rFonts w:ascii="Wingdings" w:hAnsi="Wingdings" w:hint="default"/>
      </w:rPr>
    </w:lvl>
    <w:lvl w:ilvl="3" w:tplc="7994882C" w:tentative="1">
      <w:start w:val="1"/>
      <w:numFmt w:val="bullet"/>
      <w:lvlText w:val=""/>
      <w:lvlJc w:val="left"/>
      <w:pPr>
        <w:ind w:left="2880" w:hanging="360"/>
      </w:pPr>
      <w:rPr>
        <w:rFonts w:ascii="Symbol" w:hAnsi="Symbol" w:hint="default"/>
      </w:rPr>
    </w:lvl>
    <w:lvl w:ilvl="4" w:tplc="976C71F0" w:tentative="1">
      <w:start w:val="1"/>
      <w:numFmt w:val="bullet"/>
      <w:lvlText w:val="o"/>
      <w:lvlJc w:val="left"/>
      <w:pPr>
        <w:ind w:left="3600" w:hanging="360"/>
      </w:pPr>
      <w:rPr>
        <w:rFonts w:ascii="Courier New" w:hAnsi="Courier New" w:cs="Courier New" w:hint="default"/>
      </w:rPr>
    </w:lvl>
    <w:lvl w:ilvl="5" w:tplc="661E1BCE" w:tentative="1">
      <w:start w:val="1"/>
      <w:numFmt w:val="bullet"/>
      <w:lvlText w:val=""/>
      <w:lvlJc w:val="left"/>
      <w:pPr>
        <w:ind w:left="4320" w:hanging="360"/>
      </w:pPr>
      <w:rPr>
        <w:rFonts w:ascii="Wingdings" w:hAnsi="Wingdings" w:hint="default"/>
      </w:rPr>
    </w:lvl>
    <w:lvl w:ilvl="6" w:tplc="1FE27D9A" w:tentative="1">
      <w:start w:val="1"/>
      <w:numFmt w:val="bullet"/>
      <w:lvlText w:val=""/>
      <w:lvlJc w:val="left"/>
      <w:pPr>
        <w:ind w:left="5040" w:hanging="360"/>
      </w:pPr>
      <w:rPr>
        <w:rFonts w:ascii="Symbol" w:hAnsi="Symbol" w:hint="default"/>
      </w:rPr>
    </w:lvl>
    <w:lvl w:ilvl="7" w:tplc="FAECBA86" w:tentative="1">
      <w:start w:val="1"/>
      <w:numFmt w:val="bullet"/>
      <w:lvlText w:val="o"/>
      <w:lvlJc w:val="left"/>
      <w:pPr>
        <w:ind w:left="5760" w:hanging="360"/>
      </w:pPr>
      <w:rPr>
        <w:rFonts w:ascii="Courier New" w:hAnsi="Courier New" w:cs="Courier New" w:hint="default"/>
      </w:rPr>
    </w:lvl>
    <w:lvl w:ilvl="8" w:tplc="2D64E28E" w:tentative="1">
      <w:start w:val="1"/>
      <w:numFmt w:val="bullet"/>
      <w:lvlText w:val=""/>
      <w:lvlJc w:val="left"/>
      <w:pPr>
        <w:ind w:left="6480" w:hanging="360"/>
      </w:pPr>
      <w:rPr>
        <w:rFonts w:ascii="Wingdings" w:hAnsi="Wingdings" w:hint="default"/>
      </w:rPr>
    </w:lvl>
  </w:abstractNum>
  <w:abstractNum w:abstractNumId="14" w15:restartNumberingAfterBreak="0">
    <w:nsid w:val="3C6D5AD8"/>
    <w:multiLevelType w:val="multilevel"/>
    <w:tmpl w:val="B1C088B0"/>
    <w:styleLink w:val="GBlist-Indentbullets"/>
    <w:lvl w:ilvl="0">
      <w:start w:val="1"/>
      <w:numFmt w:val="bullet"/>
      <w:pStyle w:val="GBIndentbluebulletlist1"/>
      <w:lvlText w:val=""/>
      <w:lvlJc w:val="left"/>
      <w:pPr>
        <w:ind w:left="1077" w:hanging="226"/>
      </w:pPr>
      <w:rPr>
        <w:rFonts w:ascii="Symbol" w:hAnsi="Symbol" w:cs="Times New Roman" w:hint="default"/>
        <w:b w:val="0"/>
        <w:bCs w:val="0"/>
        <w:i w:val="0"/>
        <w:iCs w:val="0"/>
        <w:caps w:val="0"/>
        <w:strike w:val="0"/>
        <w:dstrike w:val="0"/>
        <w:outline w:val="0"/>
        <w:shadow w:val="0"/>
        <w:emboss w:val="0"/>
        <w:imprint w:val="0"/>
        <w:vanish w:val="0"/>
        <w:color w:val="1E2DBE"/>
        <w:spacing w:val="0"/>
        <w:kern w:val="0"/>
        <w:position w:val="0"/>
        <w:sz w:val="24"/>
        <w:szCs w:val="24"/>
        <w:u w:val="none"/>
        <w:effect w:val="none"/>
        <w:vertAlign w:val="baseline"/>
        <w:em w:val="none"/>
        <w14:ligatures w14:val="none"/>
        <w14:numForm w14:val="default"/>
        <w14:numSpacing w14:val="default"/>
        <w14:stylisticSets/>
        <w14:cntxtAlts w14:val="0"/>
      </w:rPr>
    </w:lvl>
    <w:lvl w:ilvl="1">
      <w:start w:val="1"/>
      <w:numFmt w:val="bullet"/>
      <w:pStyle w:val="GBIndentbluebulletlist2"/>
      <w:lvlText w:val="o"/>
      <w:lvlJc w:val="left"/>
      <w:pPr>
        <w:ind w:left="1304" w:hanging="227"/>
      </w:pPr>
      <w:rPr>
        <w:rFonts w:ascii="Symbol" w:hAnsi="Symbol" w:cs="Noto Sans" w:hint="default"/>
        <w:b w:val="0"/>
        <w:bCs w:val="0"/>
        <w:i w:val="0"/>
        <w:iCs w:val="0"/>
        <w:color w:val="1E2DBE"/>
        <w:sz w:val="20"/>
        <w:szCs w:val="20"/>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5" w15:restartNumberingAfterBreak="0">
    <w:nsid w:val="3CB24248"/>
    <w:multiLevelType w:val="multilevel"/>
    <w:tmpl w:val="3B0A3DFC"/>
    <w:styleLink w:val="listDocCode"/>
    <w:lvl w:ilvl="0">
      <w:start w:val="1"/>
      <w:numFmt w:val="bullet"/>
      <w:pStyle w:val="GBDocCode"/>
      <w:lvlText w:val=""/>
      <w:lvlJc w:val="left"/>
      <w:pPr>
        <w:ind w:left="284" w:hanging="227"/>
      </w:pPr>
      <w:rPr>
        <w:rFonts w:ascii="Wingdings 3" w:hAnsi="Wingdings 3" w:cs="Wingdings 3" w:hint="default"/>
        <w:b w:val="0"/>
        <w:bCs w:val="0"/>
        <w:i w:val="0"/>
        <w:iCs w:val="0"/>
        <w:color w:val="FFFFFF" w:themeColor="background1"/>
        <w:sz w:val="20"/>
        <w:szCs w:val="20"/>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6" w15:restartNumberingAfterBreak="0">
    <w:nsid w:val="46590F41"/>
    <w:multiLevelType w:val="multilevel"/>
    <w:tmpl w:val="85CA12AA"/>
    <w:styleLink w:val="GBlist-Appendixbullets"/>
    <w:lvl w:ilvl="0">
      <w:start w:val="1"/>
      <w:numFmt w:val="bullet"/>
      <w:pStyle w:val="GBIndentblackbulletlist1Appendix"/>
      <w:lvlText w:val=""/>
      <w:lvlJc w:val="left"/>
      <w:pPr>
        <w:tabs>
          <w:tab w:val="num" w:pos="851"/>
        </w:tabs>
        <w:ind w:left="1077" w:hanging="226"/>
      </w:pPr>
      <w:rPr>
        <w:rFonts w:ascii="Symbol" w:hAnsi="Symbol" w:cs="Times New Roman" w:hint="default"/>
        <w:b w:val="0"/>
        <w:i w:val="0"/>
        <w:sz w:val="24"/>
        <w:szCs w:val="24"/>
      </w:rPr>
    </w:lvl>
    <w:lvl w:ilvl="1">
      <w:start w:val="1"/>
      <w:numFmt w:val="bullet"/>
      <w:pStyle w:val="GBIndentblackbulletlist2Appendix"/>
      <w:lvlText w:val="o"/>
      <w:lvlJc w:val="left"/>
      <w:pPr>
        <w:ind w:left="1304" w:hanging="224"/>
      </w:pPr>
      <w:rPr>
        <w:rFonts w:ascii="Symbol" w:hAnsi="Symbol"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660135E"/>
    <w:multiLevelType w:val="hybridMultilevel"/>
    <w:tmpl w:val="1F8452D6"/>
    <w:lvl w:ilvl="0" w:tplc="A6D25322">
      <w:start w:val="1"/>
      <w:numFmt w:val="upperLetter"/>
      <w:pStyle w:val="EFSGGBParaNumappendix"/>
      <w:lvlText w:val="%1."/>
      <w:lvlJc w:val="left"/>
      <w:pPr>
        <w:ind w:left="360" w:hanging="360"/>
      </w:pPr>
      <w:rPr>
        <w:rFonts w:ascii="Overpass" w:hAnsi="Overpass" w:hint="default"/>
        <w:b/>
        <w:bCs/>
        <w:i w:val="0"/>
        <w:iCs w:val="0"/>
        <w:caps w:val="0"/>
        <w:strike w:val="0"/>
        <w:dstrike w:val="0"/>
        <w:outline w:val="0"/>
        <w:shadow w:val="0"/>
        <w:emboss w:val="0"/>
        <w:imprint w:val="0"/>
        <w:vanish w:val="0"/>
        <w:color w:val="230050"/>
        <w:spacing w:val="0"/>
        <w:kern w:val="0"/>
        <w:position w:val="0"/>
        <w:sz w:val="24"/>
        <w:szCs w:val="24"/>
        <w:u w:val="none"/>
        <w:effect w:val="none"/>
        <w:vertAlign w:val="baseline"/>
        <w14:ligatures w14:val="none"/>
        <w14:numForm w14:val="default"/>
        <w14:numSpacing w14:val="default"/>
        <w14:stylisticSets/>
        <w14:cntxtAlts w14:val="0"/>
      </w:rPr>
    </w:lvl>
    <w:lvl w:ilvl="1" w:tplc="966AD1B4">
      <w:start w:val="1"/>
      <w:numFmt w:val="lowerLetter"/>
      <w:lvlText w:val="%2."/>
      <w:lvlJc w:val="left"/>
      <w:pPr>
        <w:ind w:left="1080" w:hanging="360"/>
      </w:pPr>
    </w:lvl>
    <w:lvl w:ilvl="2" w:tplc="6DC0CCF2" w:tentative="1">
      <w:start w:val="1"/>
      <w:numFmt w:val="lowerRoman"/>
      <w:lvlText w:val="%3."/>
      <w:lvlJc w:val="right"/>
      <w:pPr>
        <w:ind w:left="1800" w:hanging="180"/>
      </w:pPr>
    </w:lvl>
    <w:lvl w:ilvl="3" w:tplc="1E146A6E" w:tentative="1">
      <w:start w:val="1"/>
      <w:numFmt w:val="decimal"/>
      <w:lvlText w:val="%4."/>
      <w:lvlJc w:val="left"/>
      <w:pPr>
        <w:ind w:left="2520" w:hanging="360"/>
      </w:pPr>
    </w:lvl>
    <w:lvl w:ilvl="4" w:tplc="8C44B094" w:tentative="1">
      <w:start w:val="1"/>
      <w:numFmt w:val="lowerLetter"/>
      <w:lvlText w:val="%5."/>
      <w:lvlJc w:val="left"/>
      <w:pPr>
        <w:ind w:left="3240" w:hanging="360"/>
      </w:pPr>
    </w:lvl>
    <w:lvl w:ilvl="5" w:tplc="D2EC4ABA" w:tentative="1">
      <w:start w:val="1"/>
      <w:numFmt w:val="lowerRoman"/>
      <w:lvlText w:val="%6."/>
      <w:lvlJc w:val="right"/>
      <w:pPr>
        <w:ind w:left="3960" w:hanging="180"/>
      </w:pPr>
    </w:lvl>
    <w:lvl w:ilvl="6" w:tplc="48545490" w:tentative="1">
      <w:start w:val="1"/>
      <w:numFmt w:val="decimal"/>
      <w:lvlText w:val="%7."/>
      <w:lvlJc w:val="left"/>
      <w:pPr>
        <w:ind w:left="4680" w:hanging="360"/>
      </w:pPr>
    </w:lvl>
    <w:lvl w:ilvl="7" w:tplc="8A28C582" w:tentative="1">
      <w:start w:val="1"/>
      <w:numFmt w:val="lowerLetter"/>
      <w:lvlText w:val="%8."/>
      <w:lvlJc w:val="left"/>
      <w:pPr>
        <w:ind w:left="5400" w:hanging="360"/>
      </w:pPr>
    </w:lvl>
    <w:lvl w:ilvl="8" w:tplc="C3646A02" w:tentative="1">
      <w:start w:val="1"/>
      <w:numFmt w:val="lowerRoman"/>
      <w:lvlText w:val="%9."/>
      <w:lvlJc w:val="right"/>
      <w:pPr>
        <w:ind w:left="6120" w:hanging="180"/>
      </w:pPr>
    </w:lvl>
  </w:abstractNum>
  <w:abstractNum w:abstractNumId="18" w15:restartNumberingAfterBreak="0">
    <w:nsid w:val="4B507870"/>
    <w:multiLevelType w:val="multilevel"/>
    <w:tmpl w:val="5C8CFC42"/>
    <w:styleLink w:val="listBoxnumberedlettersFS"/>
    <w:lvl w:ilvl="0">
      <w:start w:val="1"/>
      <w:numFmt w:val="decimal"/>
      <w:pStyle w:val="BoxBodyNumbered"/>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pStyle w:val="BoxIndentletterlistS"/>
      <w:lvlText w:val="%2)"/>
      <w:lvlJc w:val="left"/>
      <w:pPr>
        <w:ind w:left="680" w:hanging="340"/>
      </w:pPr>
      <w:rPr>
        <w:rFonts w:ascii="Noto Sans" w:hAnsi="Noto Sans" w:cs="Noto Sans" w:hint="default"/>
        <w:b w:val="0"/>
        <w:bCs w:val="0"/>
        <w:i/>
        <w:iCs/>
        <w:sz w:val="18"/>
        <w:szCs w:val="18"/>
      </w:rPr>
    </w:lvl>
    <w:lvl w:ilvl="2">
      <w:start w:val="1"/>
      <w:numFmt w:val="lowerRoman"/>
      <w:lvlText w:val="%3)"/>
      <w:lvlJc w:val="left"/>
      <w:pPr>
        <w:ind w:left="1021" w:hanging="341"/>
      </w:pPr>
      <w:rPr>
        <w:rFonts w:hint="default"/>
        <w:sz w:val="18"/>
        <w:szCs w:val="18"/>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4DD81B7B"/>
    <w:multiLevelType w:val="multilevel"/>
    <w:tmpl w:val="E332BA62"/>
    <w:lvl w:ilvl="0">
      <w:start w:val="1"/>
      <w:numFmt w:val="bullet"/>
      <w:pStyle w:val="GBHeading1Indent"/>
      <w:lvlText w:val=""/>
      <w:lvlJc w:val="left"/>
      <w:pPr>
        <w:ind w:left="851" w:hanging="851"/>
      </w:pPr>
      <w:rPr>
        <w:rFonts w:ascii="Wingdings 3" w:hAnsi="Wingdings 3" w:cs="Wingdings 3" w:hint="default"/>
        <w:b w:val="0"/>
        <w:i w:val="0"/>
        <w:color w:val="FA3C4B"/>
        <w:sz w:val="28"/>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EE850E4"/>
    <w:multiLevelType w:val="multilevel"/>
    <w:tmpl w:val="B1C088B0"/>
    <w:numStyleLink w:val="GBlist-Indentbullets"/>
  </w:abstractNum>
  <w:abstractNum w:abstractNumId="21" w15:restartNumberingAfterBreak="0">
    <w:nsid w:val="51DE04BA"/>
    <w:multiLevelType w:val="multilevel"/>
    <w:tmpl w:val="256E6EE6"/>
    <w:numStyleLink w:val="GBlist-DecisionsublevelsFS"/>
  </w:abstractNum>
  <w:abstractNum w:abstractNumId="22" w15:restartNumberingAfterBreak="0">
    <w:nsid w:val="54191733"/>
    <w:multiLevelType w:val="multilevel"/>
    <w:tmpl w:val="1C8A4D2C"/>
    <w:numStyleLink w:val="listBoxbullets"/>
  </w:abstractNum>
  <w:abstractNum w:abstractNumId="23" w15:restartNumberingAfterBreak="0">
    <w:nsid w:val="54975F67"/>
    <w:multiLevelType w:val="multilevel"/>
    <w:tmpl w:val="B1C088B0"/>
    <w:numStyleLink w:val="GBlist-Indentbullets"/>
  </w:abstractNum>
  <w:abstractNum w:abstractNumId="24" w15:restartNumberingAfterBreak="0">
    <w:nsid w:val="58F161ED"/>
    <w:multiLevelType w:val="multilevel"/>
    <w:tmpl w:val="E4A2BBBC"/>
    <w:numStyleLink w:val="GBlist-Header"/>
  </w:abstractNum>
  <w:abstractNum w:abstractNumId="25" w15:restartNumberingAfterBreak="0">
    <w:nsid w:val="5A456056"/>
    <w:multiLevelType w:val="multilevel"/>
    <w:tmpl w:val="3B0A3DFC"/>
    <w:numStyleLink w:val="listDocCode"/>
  </w:abstractNum>
  <w:abstractNum w:abstractNumId="26" w15:restartNumberingAfterBreak="0">
    <w:nsid w:val="5D640398"/>
    <w:multiLevelType w:val="hybridMultilevel"/>
    <w:tmpl w:val="79E0E8E8"/>
    <w:lvl w:ilvl="0" w:tplc="122A23EE">
      <w:start w:val="1"/>
      <w:numFmt w:val="bullet"/>
      <w:lvlText w:val=""/>
      <w:lvlJc w:val="left"/>
      <w:pPr>
        <w:ind w:left="720" w:hanging="360"/>
      </w:pPr>
      <w:rPr>
        <w:rFonts w:ascii="Symbol" w:hAnsi="Symbol" w:hint="default"/>
        <w:color w:val="230050"/>
      </w:rPr>
    </w:lvl>
    <w:lvl w:ilvl="1" w:tplc="EBAA88E2">
      <w:start w:val="1"/>
      <w:numFmt w:val="bullet"/>
      <w:lvlText w:val="o"/>
      <w:lvlJc w:val="left"/>
      <w:pPr>
        <w:ind w:left="1440" w:hanging="360"/>
      </w:pPr>
      <w:rPr>
        <w:rFonts w:ascii="Courier New" w:hAnsi="Courier New" w:cs="Courier New" w:hint="default"/>
      </w:rPr>
    </w:lvl>
    <w:lvl w:ilvl="2" w:tplc="B7E8B496" w:tentative="1">
      <w:start w:val="1"/>
      <w:numFmt w:val="bullet"/>
      <w:lvlText w:val=""/>
      <w:lvlJc w:val="left"/>
      <w:pPr>
        <w:ind w:left="2160" w:hanging="360"/>
      </w:pPr>
      <w:rPr>
        <w:rFonts w:ascii="Wingdings" w:hAnsi="Wingdings" w:hint="default"/>
      </w:rPr>
    </w:lvl>
    <w:lvl w:ilvl="3" w:tplc="6BA64062" w:tentative="1">
      <w:start w:val="1"/>
      <w:numFmt w:val="bullet"/>
      <w:lvlText w:val=""/>
      <w:lvlJc w:val="left"/>
      <w:pPr>
        <w:ind w:left="2880" w:hanging="360"/>
      </w:pPr>
      <w:rPr>
        <w:rFonts w:ascii="Symbol" w:hAnsi="Symbol" w:hint="default"/>
      </w:rPr>
    </w:lvl>
    <w:lvl w:ilvl="4" w:tplc="6B8A1300" w:tentative="1">
      <w:start w:val="1"/>
      <w:numFmt w:val="bullet"/>
      <w:lvlText w:val="o"/>
      <w:lvlJc w:val="left"/>
      <w:pPr>
        <w:ind w:left="3600" w:hanging="360"/>
      </w:pPr>
      <w:rPr>
        <w:rFonts w:ascii="Courier New" w:hAnsi="Courier New" w:cs="Courier New" w:hint="default"/>
      </w:rPr>
    </w:lvl>
    <w:lvl w:ilvl="5" w:tplc="4EAEFC28" w:tentative="1">
      <w:start w:val="1"/>
      <w:numFmt w:val="bullet"/>
      <w:lvlText w:val=""/>
      <w:lvlJc w:val="left"/>
      <w:pPr>
        <w:ind w:left="4320" w:hanging="360"/>
      </w:pPr>
      <w:rPr>
        <w:rFonts w:ascii="Wingdings" w:hAnsi="Wingdings" w:hint="default"/>
      </w:rPr>
    </w:lvl>
    <w:lvl w:ilvl="6" w:tplc="3BFCB42E" w:tentative="1">
      <w:start w:val="1"/>
      <w:numFmt w:val="bullet"/>
      <w:lvlText w:val=""/>
      <w:lvlJc w:val="left"/>
      <w:pPr>
        <w:ind w:left="5040" w:hanging="360"/>
      </w:pPr>
      <w:rPr>
        <w:rFonts w:ascii="Symbol" w:hAnsi="Symbol" w:hint="default"/>
      </w:rPr>
    </w:lvl>
    <w:lvl w:ilvl="7" w:tplc="D8DE4C10" w:tentative="1">
      <w:start w:val="1"/>
      <w:numFmt w:val="bullet"/>
      <w:lvlText w:val="o"/>
      <w:lvlJc w:val="left"/>
      <w:pPr>
        <w:ind w:left="5760" w:hanging="360"/>
      </w:pPr>
      <w:rPr>
        <w:rFonts w:ascii="Courier New" w:hAnsi="Courier New" w:cs="Courier New" w:hint="default"/>
      </w:rPr>
    </w:lvl>
    <w:lvl w:ilvl="8" w:tplc="927C34D4" w:tentative="1">
      <w:start w:val="1"/>
      <w:numFmt w:val="bullet"/>
      <w:lvlText w:val=""/>
      <w:lvlJc w:val="left"/>
      <w:pPr>
        <w:ind w:left="6480" w:hanging="360"/>
      </w:pPr>
      <w:rPr>
        <w:rFonts w:ascii="Wingdings" w:hAnsi="Wingdings" w:hint="default"/>
      </w:rPr>
    </w:lvl>
  </w:abstractNum>
  <w:abstractNum w:abstractNumId="27" w15:restartNumberingAfterBreak="0">
    <w:nsid w:val="6AAC1FED"/>
    <w:multiLevelType w:val="multilevel"/>
    <w:tmpl w:val="7572129C"/>
    <w:numStyleLink w:val="GBlist-ParaNumlettersFS"/>
  </w:abstractNum>
  <w:abstractNum w:abstractNumId="28" w15:restartNumberingAfterBreak="0">
    <w:nsid w:val="6D39646F"/>
    <w:multiLevelType w:val="multilevel"/>
    <w:tmpl w:val="9552D136"/>
    <w:numStyleLink w:val="GBlist-Table-Box-Graphictitle"/>
  </w:abstractNum>
  <w:abstractNum w:abstractNumId="29" w15:restartNumberingAfterBreak="0">
    <w:nsid w:val="6E1E4738"/>
    <w:multiLevelType w:val="multilevel"/>
    <w:tmpl w:val="F49C8A42"/>
    <w:styleLink w:val="GBlist-Heading1"/>
    <w:lvl w:ilvl="0">
      <w:start w:val="1"/>
      <w:numFmt w:val="bullet"/>
      <w:pStyle w:val="GBHeading1"/>
      <w:lvlText w:val=""/>
      <w:lvlJc w:val="left"/>
      <w:pPr>
        <w:ind w:left="340" w:hanging="340"/>
      </w:pPr>
      <w:rPr>
        <w:rFonts w:ascii="Wingdings 3" w:hAnsi="Wingdings 3" w:cs="Wingdings 3" w:hint="default"/>
        <w:color w:val="FA3C4B"/>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64C0D7A"/>
    <w:multiLevelType w:val="multilevel"/>
    <w:tmpl w:val="1C8A4D2C"/>
    <w:styleLink w:val="listBoxbullets"/>
    <w:lvl w:ilvl="0">
      <w:start w:val="1"/>
      <w:numFmt w:val="bullet"/>
      <w:pStyle w:val="BoxIndentbluebulletlist1"/>
      <w:lvlText w:val=""/>
      <w:lvlJc w:val="left"/>
      <w:pPr>
        <w:ind w:left="680" w:hanging="340"/>
      </w:pPr>
      <w:rPr>
        <w:rFonts w:ascii="Symbol" w:hAnsi="Symbol" w:cs="Times New Roman" w:hint="default"/>
        <w:b w:val="0"/>
        <w:bCs w:val="0"/>
        <w:i w:val="0"/>
        <w:iCs w:val="0"/>
        <w:color w:val="1E2DBE"/>
        <w:sz w:val="22"/>
        <w:szCs w:val="22"/>
      </w:rPr>
    </w:lvl>
    <w:lvl w:ilvl="1">
      <w:start w:val="1"/>
      <w:numFmt w:val="bullet"/>
      <w:pStyle w:val="BoxIndentbluebulletlist2"/>
      <w:lvlText w:val="o"/>
      <w:lvlJc w:val="left"/>
      <w:pPr>
        <w:ind w:left="1021" w:hanging="341"/>
      </w:pPr>
      <w:rPr>
        <w:rFonts w:ascii="Symbol" w:hAnsi="Symbol" w:cs="Noto Sans" w:hint="default"/>
        <w:b w:val="0"/>
        <w:bCs w:val="0"/>
        <w:i w:val="0"/>
        <w:iCs w:val="0"/>
        <w:color w:val="1E2DBE"/>
        <w:sz w:val="18"/>
        <w:szCs w:val="18"/>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31" w15:restartNumberingAfterBreak="0">
    <w:nsid w:val="776A7A09"/>
    <w:multiLevelType w:val="multilevel"/>
    <w:tmpl w:val="9552D136"/>
    <w:numStyleLink w:val="GBlist-Table-Box-Graphictitle"/>
  </w:abstractNum>
  <w:abstractNum w:abstractNumId="32" w15:restartNumberingAfterBreak="0">
    <w:nsid w:val="7B7765B6"/>
    <w:multiLevelType w:val="multilevel"/>
    <w:tmpl w:val="7572129C"/>
    <w:styleLink w:val="GBlist-ParaNumlettersFS"/>
    <w:lvl w:ilvl="0">
      <w:start w:val="1"/>
      <w:numFmt w:val="decimal"/>
      <w:pStyle w:val="GBParaNum"/>
      <w:lvlText w:val="%1."/>
      <w:lvlJc w:val="left"/>
      <w:pPr>
        <w:ind w:left="851" w:hanging="511"/>
      </w:pPr>
      <w:rPr>
        <w:rFonts w:ascii="Noto Sans" w:eastAsia="Noto Sans SC Regular" w:hAnsi="Noto Sans" w:cs="Noto Sans" w:hint="default"/>
        <w:b/>
        <w:bCs w:val="0"/>
        <w:i w:val="0"/>
        <w:iCs w:val="0"/>
        <w:caps w:val="0"/>
        <w:strike w:val="0"/>
        <w:dstrike w:val="0"/>
        <w:outline w:val="0"/>
        <w:shadow w:val="0"/>
        <w:emboss w:val="0"/>
        <w:imprint w:val="0"/>
        <w:vanish w:val="0"/>
        <w:color w:val="1E0055"/>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pStyle w:val="GBIndentletterlist1S"/>
      <w:lvlText w:val="%2)"/>
      <w:lvlJc w:val="left"/>
      <w:pPr>
        <w:ind w:left="1304" w:hanging="453"/>
      </w:pPr>
      <w:rPr>
        <w:rFonts w:ascii="Noto Sans" w:hAnsi="Noto Sans" w:cs="Noto Sans" w:hint="default"/>
        <w:b w:val="0"/>
        <w:bCs w:val="0"/>
        <w:i/>
        <w:iCs/>
        <w:sz w:val="20"/>
        <w:szCs w:val="20"/>
      </w:rPr>
    </w:lvl>
    <w:lvl w:ilvl="2">
      <w:start w:val="1"/>
      <w:numFmt w:val="lowerRoman"/>
      <w:pStyle w:val="GBIndentletterlist2S"/>
      <w:lvlText w:val="%3)"/>
      <w:lvlJc w:val="lef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192186945">
    <w:abstractNumId w:val="22"/>
  </w:num>
  <w:num w:numId="2" w16cid:durableId="71970790">
    <w:abstractNumId w:val="22"/>
  </w:num>
  <w:num w:numId="3" w16cid:durableId="1224756807">
    <w:abstractNumId w:val="11"/>
  </w:num>
  <w:num w:numId="4" w16cid:durableId="1599094241">
    <w:abstractNumId w:val="19"/>
  </w:num>
  <w:num w:numId="5" w16cid:durableId="1763718290">
    <w:abstractNumId w:val="20"/>
  </w:num>
  <w:num w:numId="6" w16cid:durableId="1192373973">
    <w:abstractNumId w:val="15"/>
  </w:num>
  <w:num w:numId="7" w16cid:durableId="133645293">
    <w:abstractNumId w:val="4"/>
  </w:num>
  <w:num w:numId="8" w16cid:durableId="1969509250">
    <w:abstractNumId w:val="32"/>
  </w:num>
  <w:num w:numId="9" w16cid:durableId="1947956199">
    <w:abstractNumId w:val="14"/>
  </w:num>
  <w:num w:numId="10" w16cid:durableId="696084741">
    <w:abstractNumId w:val="23"/>
  </w:num>
  <w:num w:numId="11" w16cid:durableId="1113554603">
    <w:abstractNumId w:val="2"/>
  </w:num>
  <w:num w:numId="12" w16cid:durableId="1665011496">
    <w:abstractNumId w:val="3"/>
  </w:num>
  <w:num w:numId="13" w16cid:durableId="710418660">
    <w:abstractNumId w:val="28"/>
  </w:num>
  <w:num w:numId="14" w16cid:durableId="1502966085">
    <w:abstractNumId w:val="18"/>
  </w:num>
  <w:num w:numId="15" w16cid:durableId="1820607598">
    <w:abstractNumId w:val="7"/>
  </w:num>
  <w:num w:numId="16" w16cid:durableId="630745463">
    <w:abstractNumId w:val="1"/>
  </w:num>
  <w:num w:numId="17" w16cid:durableId="1389956612">
    <w:abstractNumId w:val="16"/>
  </w:num>
  <w:num w:numId="18" w16cid:durableId="799615954">
    <w:abstractNumId w:val="27"/>
  </w:num>
  <w:num w:numId="19" w16cid:durableId="1146048142">
    <w:abstractNumId w:val="9"/>
  </w:num>
  <w:num w:numId="20" w16cid:durableId="145247849">
    <w:abstractNumId w:val="0"/>
  </w:num>
  <w:num w:numId="21" w16cid:durableId="145244833">
    <w:abstractNumId w:val="21"/>
  </w:num>
  <w:num w:numId="22" w16cid:durableId="1555387554">
    <w:abstractNumId w:val="24"/>
  </w:num>
  <w:num w:numId="23" w16cid:durableId="357658018">
    <w:abstractNumId w:val="12"/>
  </w:num>
  <w:num w:numId="24" w16cid:durableId="37243516">
    <w:abstractNumId w:val="31"/>
  </w:num>
  <w:num w:numId="25" w16cid:durableId="1096098512">
    <w:abstractNumId w:val="25"/>
  </w:num>
  <w:num w:numId="26" w16cid:durableId="1329751557">
    <w:abstractNumId w:val="6"/>
  </w:num>
  <w:num w:numId="27" w16cid:durableId="1764297588">
    <w:abstractNumId w:val="5"/>
  </w:num>
  <w:num w:numId="28" w16cid:durableId="1259749411">
    <w:abstractNumId w:val="29"/>
  </w:num>
  <w:num w:numId="29" w16cid:durableId="688027649">
    <w:abstractNumId w:val="30"/>
  </w:num>
  <w:num w:numId="30" w16cid:durableId="596401126">
    <w:abstractNumId w:val="10"/>
  </w:num>
  <w:num w:numId="31" w16cid:durableId="200292205">
    <w:abstractNumId w:val="21"/>
  </w:num>
  <w:num w:numId="32" w16cid:durableId="1780026104">
    <w:abstractNumId w:val="8"/>
  </w:num>
  <w:num w:numId="33" w16cid:durableId="1053845976">
    <w:abstractNumId w:val="17"/>
  </w:num>
  <w:num w:numId="34" w16cid:durableId="88232612">
    <w:abstractNumId w:val="5"/>
    <w:lvlOverride w:ilvl="0">
      <w:lvl w:ilvl="0">
        <w:start w:val="1"/>
        <w:numFmt w:val="bullet"/>
        <w:pStyle w:val="TableIndentbluebulletlist1"/>
        <w:lvlText w:val=""/>
        <w:lvlJc w:val="left"/>
        <w:pPr>
          <w:ind w:left="340" w:hanging="340"/>
        </w:pPr>
        <w:rPr>
          <w:rFonts w:ascii="Symbol" w:hAnsi="Symbol" w:cs="Symbol" w:hint="default"/>
          <w:b w:val="0"/>
          <w:i w:val="0"/>
          <w:color w:val="1E2DBE"/>
          <w:sz w:val="24"/>
          <w:szCs w:val="24"/>
        </w:rPr>
      </w:lvl>
    </w:lvlOverride>
  </w:num>
  <w:num w:numId="35" w16cid:durableId="1337027813">
    <w:abstractNumId w:val="26"/>
  </w:num>
  <w:num w:numId="36" w16cid:durableId="560025192">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ocumentProtection w:edit="forms" w:enforcement="1" w:cryptProviderType="rsaAES" w:cryptAlgorithmClass="hash" w:cryptAlgorithmType="typeAny" w:cryptAlgorithmSid="14" w:cryptSpinCount="100000" w:hash="/lyIRl2c1snW9JOtU9391rn2xNXB0DNDnRO4gCbZ2sNznQIZCdNuzx4gzBl8lgkkyv0GvT/PLW+o0yjTSphXEg==" w:salt="ibS7GPJVV21YfiryTdRBfg=="/>
  <w:defaultTabStop w:val="709"/>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F98"/>
    <w:rsid w:val="00001168"/>
    <w:rsid w:val="00002E24"/>
    <w:rsid w:val="000068E1"/>
    <w:rsid w:val="00006CF6"/>
    <w:rsid w:val="00014F73"/>
    <w:rsid w:val="00023B1F"/>
    <w:rsid w:val="000308AC"/>
    <w:rsid w:val="00036540"/>
    <w:rsid w:val="0003715D"/>
    <w:rsid w:val="00040505"/>
    <w:rsid w:val="00042CD4"/>
    <w:rsid w:val="000532D2"/>
    <w:rsid w:val="0005672A"/>
    <w:rsid w:val="000574CB"/>
    <w:rsid w:val="0006059F"/>
    <w:rsid w:val="00060D7E"/>
    <w:rsid w:val="00061464"/>
    <w:rsid w:val="000617CD"/>
    <w:rsid w:val="00061F98"/>
    <w:rsid w:val="00072B1D"/>
    <w:rsid w:val="000802F9"/>
    <w:rsid w:val="00081AAF"/>
    <w:rsid w:val="00085247"/>
    <w:rsid w:val="00086EA9"/>
    <w:rsid w:val="00093506"/>
    <w:rsid w:val="000949DB"/>
    <w:rsid w:val="000A44C2"/>
    <w:rsid w:val="000A5756"/>
    <w:rsid w:val="000B3F8D"/>
    <w:rsid w:val="000B4A8B"/>
    <w:rsid w:val="000C4E01"/>
    <w:rsid w:val="000D0329"/>
    <w:rsid w:val="000D0F55"/>
    <w:rsid w:val="000E5360"/>
    <w:rsid w:val="000F541A"/>
    <w:rsid w:val="000F64B4"/>
    <w:rsid w:val="000F6F99"/>
    <w:rsid w:val="00105B5F"/>
    <w:rsid w:val="00111560"/>
    <w:rsid w:val="00112320"/>
    <w:rsid w:val="00112384"/>
    <w:rsid w:val="00113BDC"/>
    <w:rsid w:val="00126A6F"/>
    <w:rsid w:val="00133863"/>
    <w:rsid w:val="00133BF9"/>
    <w:rsid w:val="001345DC"/>
    <w:rsid w:val="00137366"/>
    <w:rsid w:val="0014008D"/>
    <w:rsid w:val="00140388"/>
    <w:rsid w:val="00141C9B"/>
    <w:rsid w:val="00143156"/>
    <w:rsid w:val="00146431"/>
    <w:rsid w:val="001467C1"/>
    <w:rsid w:val="001503F2"/>
    <w:rsid w:val="00150A54"/>
    <w:rsid w:val="0015281B"/>
    <w:rsid w:val="001535A3"/>
    <w:rsid w:val="00155196"/>
    <w:rsid w:val="001612D7"/>
    <w:rsid w:val="00176AA8"/>
    <w:rsid w:val="001875B9"/>
    <w:rsid w:val="00191FF9"/>
    <w:rsid w:val="00195CB1"/>
    <w:rsid w:val="001A3829"/>
    <w:rsid w:val="001A7C80"/>
    <w:rsid w:val="001B2FEF"/>
    <w:rsid w:val="001B6BEE"/>
    <w:rsid w:val="001B7ED8"/>
    <w:rsid w:val="001C3AB3"/>
    <w:rsid w:val="001C4076"/>
    <w:rsid w:val="001C74D3"/>
    <w:rsid w:val="001D5CB0"/>
    <w:rsid w:val="001E4FBB"/>
    <w:rsid w:val="001F36E5"/>
    <w:rsid w:val="001F646F"/>
    <w:rsid w:val="0020056C"/>
    <w:rsid w:val="00200BC5"/>
    <w:rsid w:val="002075DA"/>
    <w:rsid w:val="002105BA"/>
    <w:rsid w:val="00213105"/>
    <w:rsid w:val="00216B86"/>
    <w:rsid w:val="00220076"/>
    <w:rsid w:val="00231F1D"/>
    <w:rsid w:val="00232D8B"/>
    <w:rsid w:val="0024638F"/>
    <w:rsid w:val="00253B26"/>
    <w:rsid w:val="00255532"/>
    <w:rsid w:val="00256FAE"/>
    <w:rsid w:val="00257224"/>
    <w:rsid w:val="00262C4D"/>
    <w:rsid w:val="00263F35"/>
    <w:rsid w:val="00266283"/>
    <w:rsid w:val="002664F3"/>
    <w:rsid w:val="00273FEE"/>
    <w:rsid w:val="0027406A"/>
    <w:rsid w:val="00280B29"/>
    <w:rsid w:val="00283BA9"/>
    <w:rsid w:val="002A7D6C"/>
    <w:rsid w:val="002B1009"/>
    <w:rsid w:val="002B1E3D"/>
    <w:rsid w:val="002B3439"/>
    <w:rsid w:val="002C1DFB"/>
    <w:rsid w:val="002C28DB"/>
    <w:rsid w:val="002C4964"/>
    <w:rsid w:val="002D70F5"/>
    <w:rsid w:val="002D7F37"/>
    <w:rsid w:val="002E03F7"/>
    <w:rsid w:val="002E3FF3"/>
    <w:rsid w:val="002E4630"/>
    <w:rsid w:val="002F0BE1"/>
    <w:rsid w:val="002F0CDC"/>
    <w:rsid w:val="002F3A34"/>
    <w:rsid w:val="002F3FCD"/>
    <w:rsid w:val="003021A6"/>
    <w:rsid w:val="00307FE7"/>
    <w:rsid w:val="00316B3E"/>
    <w:rsid w:val="003173B2"/>
    <w:rsid w:val="00324EBE"/>
    <w:rsid w:val="00325170"/>
    <w:rsid w:val="00326CBE"/>
    <w:rsid w:val="00333318"/>
    <w:rsid w:val="0033665A"/>
    <w:rsid w:val="00337A8A"/>
    <w:rsid w:val="00341DCB"/>
    <w:rsid w:val="00343E28"/>
    <w:rsid w:val="0034519C"/>
    <w:rsid w:val="00347261"/>
    <w:rsid w:val="003639DC"/>
    <w:rsid w:val="00371979"/>
    <w:rsid w:val="00372803"/>
    <w:rsid w:val="003747D0"/>
    <w:rsid w:val="003766A8"/>
    <w:rsid w:val="00376F47"/>
    <w:rsid w:val="00381672"/>
    <w:rsid w:val="00383ED8"/>
    <w:rsid w:val="003865D7"/>
    <w:rsid w:val="00395613"/>
    <w:rsid w:val="003A01EA"/>
    <w:rsid w:val="003A46A4"/>
    <w:rsid w:val="003B02C7"/>
    <w:rsid w:val="003B1AEC"/>
    <w:rsid w:val="003B25CD"/>
    <w:rsid w:val="003B3A21"/>
    <w:rsid w:val="003B5750"/>
    <w:rsid w:val="003B7E83"/>
    <w:rsid w:val="003C09A0"/>
    <w:rsid w:val="003E41B9"/>
    <w:rsid w:val="003E46A6"/>
    <w:rsid w:val="003E4C73"/>
    <w:rsid w:val="003E5B0F"/>
    <w:rsid w:val="003F0FB0"/>
    <w:rsid w:val="003F1553"/>
    <w:rsid w:val="003F262D"/>
    <w:rsid w:val="003F7B8B"/>
    <w:rsid w:val="00400148"/>
    <w:rsid w:val="004008F5"/>
    <w:rsid w:val="00402A42"/>
    <w:rsid w:val="00406AEA"/>
    <w:rsid w:val="004134BB"/>
    <w:rsid w:val="00416C71"/>
    <w:rsid w:val="004276DB"/>
    <w:rsid w:val="0043721F"/>
    <w:rsid w:val="004455C6"/>
    <w:rsid w:val="004513E5"/>
    <w:rsid w:val="00453E9B"/>
    <w:rsid w:val="00460FE9"/>
    <w:rsid w:val="0046708A"/>
    <w:rsid w:val="004703D2"/>
    <w:rsid w:val="00471E6F"/>
    <w:rsid w:val="00474C14"/>
    <w:rsid w:val="00475D29"/>
    <w:rsid w:val="00486FB6"/>
    <w:rsid w:val="00491BB2"/>
    <w:rsid w:val="004926BC"/>
    <w:rsid w:val="004978F5"/>
    <w:rsid w:val="004A443A"/>
    <w:rsid w:val="004A46BC"/>
    <w:rsid w:val="004B1DEC"/>
    <w:rsid w:val="004B62AF"/>
    <w:rsid w:val="004B7D28"/>
    <w:rsid w:val="004C17BD"/>
    <w:rsid w:val="004C2061"/>
    <w:rsid w:val="004C4A1D"/>
    <w:rsid w:val="004D344C"/>
    <w:rsid w:val="004E05BF"/>
    <w:rsid w:val="004E2BE0"/>
    <w:rsid w:val="004E399D"/>
    <w:rsid w:val="004E5D30"/>
    <w:rsid w:val="004F42DD"/>
    <w:rsid w:val="0050281E"/>
    <w:rsid w:val="00503D89"/>
    <w:rsid w:val="00511027"/>
    <w:rsid w:val="005136B9"/>
    <w:rsid w:val="005142FB"/>
    <w:rsid w:val="0051442A"/>
    <w:rsid w:val="00515BC3"/>
    <w:rsid w:val="00531EE4"/>
    <w:rsid w:val="00537244"/>
    <w:rsid w:val="005431CD"/>
    <w:rsid w:val="00550518"/>
    <w:rsid w:val="005506D6"/>
    <w:rsid w:val="005556BD"/>
    <w:rsid w:val="00555E08"/>
    <w:rsid w:val="00556F66"/>
    <w:rsid w:val="0057364F"/>
    <w:rsid w:val="00573892"/>
    <w:rsid w:val="00575827"/>
    <w:rsid w:val="00576CCB"/>
    <w:rsid w:val="005833D5"/>
    <w:rsid w:val="00586D8D"/>
    <w:rsid w:val="00595D86"/>
    <w:rsid w:val="005B066C"/>
    <w:rsid w:val="005B0D4A"/>
    <w:rsid w:val="005B2AEA"/>
    <w:rsid w:val="005B2C89"/>
    <w:rsid w:val="005C2529"/>
    <w:rsid w:val="005C4B5C"/>
    <w:rsid w:val="005C675B"/>
    <w:rsid w:val="005D64CA"/>
    <w:rsid w:val="005E2197"/>
    <w:rsid w:val="005F027F"/>
    <w:rsid w:val="005F271E"/>
    <w:rsid w:val="005F3AFE"/>
    <w:rsid w:val="005F40C1"/>
    <w:rsid w:val="005F6F50"/>
    <w:rsid w:val="00601E8F"/>
    <w:rsid w:val="00602B8D"/>
    <w:rsid w:val="00613B2D"/>
    <w:rsid w:val="00613D92"/>
    <w:rsid w:val="00623CAD"/>
    <w:rsid w:val="0062541A"/>
    <w:rsid w:val="00632774"/>
    <w:rsid w:val="0063385B"/>
    <w:rsid w:val="006340A4"/>
    <w:rsid w:val="0063433F"/>
    <w:rsid w:val="006416A2"/>
    <w:rsid w:val="00642861"/>
    <w:rsid w:val="00644CC9"/>
    <w:rsid w:val="00650560"/>
    <w:rsid w:val="0065241A"/>
    <w:rsid w:val="00656C2F"/>
    <w:rsid w:val="00672186"/>
    <w:rsid w:val="006753F3"/>
    <w:rsid w:val="006776A7"/>
    <w:rsid w:val="006818AD"/>
    <w:rsid w:val="00683674"/>
    <w:rsid w:val="00692892"/>
    <w:rsid w:val="00692D2A"/>
    <w:rsid w:val="006951B1"/>
    <w:rsid w:val="0069552E"/>
    <w:rsid w:val="00696A77"/>
    <w:rsid w:val="006A3DB4"/>
    <w:rsid w:val="006B54A2"/>
    <w:rsid w:val="006B5CF9"/>
    <w:rsid w:val="006C1A71"/>
    <w:rsid w:val="006C6811"/>
    <w:rsid w:val="006D36B4"/>
    <w:rsid w:val="006D3BAD"/>
    <w:rsid w:val="006D5E4B"/>
    <w:rsid w:val="006E5F34"/>
    <w:rsid w:val="006F1B06"/>
    <w:rsid w:val="007041E1"/>
    <w:rsid w:val="00706284"/>
    <w:rsid w:val="00713835"/>
    <w:rsid w:val="00714A2C"/>
    <w:rsid w:val="00716D66"/>
    <w:rsid w:val="00716E5A"/>
    <w:rsid w:val="00725D28"/>
    <w:rsid w:val="00735E87"/>
    <w:rsid w:val="00742509"/>
    <w:rsid w:val="007432C8"/>
    <w:rsid w:val="00745A59"/>
    <w:rsid w:val="00747D25"/>
    <w:rsid w:val="00754CA1"/>
    <w:rsid w:val="00755D9F"/>
    <w:rsid w:val="00760B9C"/>
    <w:rsid w:val="0076255D"/>
    <w:rsid w:val="0076509B"/>
    <w:rsid w:val="0076545E"/>
    <w:rsid w:val="007718D6"/>
    <w:rsid w:val="0077460F"/>
    <w:rsid w:val="007759B3"/>
    <w:rsid w:val="00785700"/>
    <w:rsid w:val="00791426"/>
    <w:rsid w:val="007921F9"/>
    <w:rsid w:val="007949E7"/>
    <w:rsid w:val="00795927"/>
    <w:rsid w:val="007A1AF6"/>
    <w:rsid w:val="007A4234"/>
    <w:rsid w:val="007B2A45"/>
    <w:rsid w:val="007C1AB0"/>
    <w:rsid w:val="007C2742"/>
    <w:rsid w:val="007C312A"/>
    <w:rsid w:val="007C7358"/>
    <w:rsid w:val="007D5980"/>
    <w:rsid w:val="007D66B0"/>
    <w:rsid w:val="007E17A3"/>
    <w:rsid w:val="007E1A37"/>
    <w:rsid w:val="007E27DC"/>
    <w:rsid w:val="007E688A"/>
    <w:rsid w:val="007E75C5"/>
    <w:rsid w:val="007F262C"/>
    <w:rsid w:val="007F5D20"/>
    <w:rsid w:val="007F6142"/>
    <w:rsid w:val="007F77EF"/>
    <w:rsid w:val="00800259"/>
    <w:rsid w:val="00803759"/>
    <w:rsid w:val="008068DD"/>
    <w:rsid w:val="00811ADA"/>
    <w:rsid w:val="00830C02"/>
    <w:rsid w:val="008313F8"/>
    <w:rsid w:val="00831596"/>
    <w:rsid w:val="0083231E"/>
    <w:rsid w:val="00832D81"/>
    <w:rsid w:val="00840AED"/>
    <w:rsid w:val="00846E31"/>
    <w:rsid w:val="008510CF"/>
    <w:rsid w:val="00853B54"/>
    <w:rsid w:val="00867D6C"/>
    <w:rsid w:val="00880CA7"/>
    <w:rsid w:val="00890816"/>
    <w:rsid w:val="00890C7F"/>
    <w:rsid w:val="00890DB1"/>
    <w:rsid w:val="00892BF4"/>
    <w:rsid w:val="00894086"/>
    <w:rsid w:val="008941DA"/>
    <w:rsid w:val="008948F9"/>
    <w:rsid w:val="008968AC"/>
    <w:rsid w:val="008A6740"/>
    <w:rsid w:val="008B23B9"/>
    <w:rsid w:val="008B2785"/>
    <w:rsid w:val="008B4074"/>
    <w:rsid w:val="008B721B"/>
    <w:rsid w:val="008B7D3B"/>
    <w:rsid w:val="008C1669"/>
    <w:rsid w:val="008C4247"/>
    <w:rsid w:val="008C4B09"/>
    <w:rsid w:val="008C76E7"/>
    <w:rsid w:val="008D59F1"/>
    <w:rsid w:val="008D5C57"/>
    <w:rsid w:val="008D63EA"/>
    <w:rsid w:val="008E29AE"/>
    <w:rsid w:val="008E5F11"/>
    <w:rsid w:val="008E75BC"/>
    <w:rsid w:val="008F11D5"/>
    <w:rsid w:val="008F7839"/>
    <w:rsid w:val="0090398D"/>
    <w:rsid w:val="00905E5A"/>
    <w:rsid w:val="009121DD"/>
    <w:rsid w:val="009138D9"/>
    <w:rsid w:val="009140A9"/>
    <w:rsid w:val="009209DE"/>
    <w:rsid w:val="00923FA3"/>
    <w:rsid w:val="00927863"/>
    <w:rsid w:val="00935AE8"/>
    <w:rsid w:val="00936833"/>
    <w:rsid w:val="00936FF5"/>
    <w:rsid w:val="00941CFA"/>
    <w:rsid w:val="00942AD7"/>
    <w:rsid w:val="009433F0"/>
    <w:rsid w:val="00950608"/>
    <w:rsid w:val="0095309D"/>
    <w:rsid w:val="00970F1A"/>
    <w:rsid w:val="0097130F"/>
    <w:rsid w:val="009717DA"/>
    <w:rsid w:val="00977753"/>
    <w:rsid w:val="00986E95"/>
    <w:rsid w:val="00987B1B"/>
    <w:rsid w:val="009918A3"/>
    <w:rsid w:val="00991D4D"/>
    <w:rsid w:val="00992EB6"/>
    <w:rsid w:val="009930DD"/>
    <w:rsid w:val="00996286"/>
    <w:rsid w:val="009972D9"/>
    <w:rsid w:val="009A0456"/>
    <w:rsid w:val="009A7098"/>
    <w:rsid w:val="009B251D"/>
    <w:rsid w:val="009C2707"/>
    <w:rsid w:val="009C35BB"/>
    <w:rsid w:val="009C7946"/>
    <w:rsid w:val="009D1A5A"/>
    <w:rsid w:val="009D1D3D"/>
    <w:rsid w:val="009D529A"/>
    <w:rsid w:val="009D5A47"/>
    <w:rsid w:val="009D5C09"/>
    <w:rsid w:val="009D6786"/>
    <w:rsid w:val="009E24B3"/>
    <w:rsid w:val="009E44AA"/>
    <w:rsid w:val="009E6BA7"/>
    <w:rsid w:val="009F0B37"/>
    <w:rsid w:val="009F57CD"/>
    <w:rsid w:val="009F5D54"/>
    <w:rsid w:val="00A02411"/>
    <w:rsid w:val="00A120A3"/>
    <w:rsid w:val="00A13214"/>
    <w:rsid w:val="00A13664"/>
    <w:rsid w:val="00A15FD5"/>
    <w:rsid w:val="00A21DBB"/>
    <w:rsid w:val="00A2748B"/>
    <w:rsid w:val="00A3456C"/>
    <w:rsid w:val="00A3620D"/>
    <w:rsid w:val="00A370B4"/>
    <w:rsid w:val="00A37842"/>
    <w:rsid w:val="00A4182A"/>
    <w:rsid w:val="00A41B75"/>
    <w:rsid w:val="00A453ED"/>
    <w:rsid w:val="00A516EF"/>
    <w:rsid w:val="00A64864"/>
    <w:rsid w:val="00A70319"/>
    <w:rsid w:val="00A7100F"/>
    <w:rsid w:val="00A71812"/>
    <w:rsid w:val="00A73951"/>
    <w:rsid w:val="00A764BF"/>
    <w:rsid w:val="00A81208"/>
    <w:rsid w:val="00A837E8"/>
    <w:rsid w:val="00A84D99"/>
    <w:rsid w:val="00A8525E"/>
    <w:rsid w:val="00A85F8B"/>
    <w:rsid w:val="00A909AF"/>
    <w:rsid w:val="00A96161"/>
    <w:rsid w:val="00AA3AA3"/>
    <w:rsid w:val="00AA3ACA"/>
    <w:rsid w:val="00AA68E2"/>
    <w:rsid w:val="00AD16F3"/>
    <w:rsid w:val="00AD60B1"/>
    <w:rsid w:val="00AE2FE5"/>
    <w:rsid w:val="00AE3063"/>
    <w:rsid w:val="00AE3A50"/>
    <w:rsid w:val="00AF02D9"/>
    <w:rsid w:val="00B05A9B"/>
    <w:rsid w:val="00B069C6"/>
    <w:rsid w:val="00B07793"/>
    <w:rsid w:val="00B223B4"/>
    <w:rsid w:val="00B2460A"/>
    <w:rsid w:val="00B3148A"/>
    <w:rsid w:val="00B31BC5"/>
    <w:rsid w:val="00B31EC9"/>
    <w:rsid w:val="00B33FBA"/>
    <w:rsid w:val="00B3530F"/>
    <w:rsid w:val="00B3798A"/>
    <w:rsid w:val="00B424D6"/>
    <w:rsid w:val="00B459A8"/>
    <w:rsid w:val="00B46A3D"/>
    <w:rsid w:val="00B52638"/>
    <w:rsid w:val="00B57D55"/>
    <w:rsid w:val="00B62393"/>
    <w:rsid w:val="00B6517C"/>
    <w:rsid w:val="00B6657B"/>
    <w:rsid w:val="00B73B40"/>
    <w:rsid w:val="00B74709"/>
    <w:rsid w:val="00B77AB8"/>
    <w:rsid w:val="00B838DB"/>
    <w:rsid w:val="00B83E71"/>
    <w:rsid w:val="00B90FC5"/>
    <w:rsid w:val="00B958FD"/>
    <w:rsid w:val="00B9690B"/>
    <w:rsid w:val="00B97CD1"/>
    <w:rsid w:val="00BA4E1F"/>
    <w:rsid w:val="00BB3EED"/>
    <w:rsid w:val="00BB5672"/>
    <w:rsid w:val="00BB613D"/>
    <w:rsid w:val="00BC21D9"/>
    <w:rsid w:val="00BC6105"/>
    <w:rsid w:val="00BD2192"/>
    <w:rsid w:val="00BD397B"/>
    <w:rsid w:val="00BD5784"/>
    <w:rsid w:val="00BD6111"/>
    <w:rsid w:val="00BE2075"/>
    <w:rsid w:val="00BE2D6B"/>
    <w:rsid w:val="00BE4A71"/>
    <w:rsid w:val="00BF0A37"/>
    <w:rsid w:val="00BF0D31"/>
    <w:rsid w:val="00BF28ED"/>
    <w:rsid w:val="00C006B1"/>
    <w:rsid w:val="00C00DD4"/>
    <w:rsid w:val="00C0181C"/>
    <w:rsid w:val="00C0320F"/>
    <w:rsid w:val="00C0731E"/>
    <w:rsid w:val="00C07675"/>
    <w:rsid w:val="00C16D03"/>
    <w:rsid w:val="00C318BF"/>
    <w:rsid w:val="00C3232E"/>
    <w:rsid w:val="00C375C7"/>
    <w:rsid w:val="00C41DA1"/>
    <w:rsid w:val="00C5095D"/>
    <w:rsid w:val="00C61212"/>
    <w:rsid w:val="00C624CE"/>
    <w:rsid w:val="00C629D3"/>
    <w:rsid w:val="00C71F61"/>
    <w:rsid w:val="00C84C0A"/>
    <w:rsid w:val="00C852E6"/>
    <w:rsid w:val="00C86D67"/>
    <w:rsid w:val="00C92D49"/>
    <w:rsid w:val="00C94A42"/>
    <w:rsid w:val="00CA2845"/>
    <w:rsid w:val="00CB1012"/>
    <w:rsid w:val="00CB1ECF"/>
    <w:rsid w:val="00CB4368"/>
    <w:rsid w:val="00CC0A2E"/>
    <w:rsid w:val="00CC1A30"/>
    <w:rsid w:val="00CC2E26"/>
    <w:rsid w:val="00CE1047"/>
    <w:rsid w:val="00D01DC5"/>
    <w:rsid w:val="00D02634"/>
    <w:rsid w:val="00D0566B"/>
    <w:rsid w:val="00D0616A"/>
    <w:rsid w:val="00D1107C"/>
    <w:rsid w:val="00D130F7"/>
    <w:rsid w:val="00D1329B"/>
    <w:rsid w:val="00D137DD"/>
    <w:rsid w:val="00D1730E"/>
    <w:rsid w:val="00D17FFA"/>
    <w:rsid w:val="00D323AD"/>
    <w:rsid w:val="00D53891"/>
    <w:rsid w:val="00D57DD1"/>
    <w:rsid w:val="00D60D84"/>
    <w:rsid w:val="00D66319"/>
    <w:rsid w:val="00D6675E"/>
    <w:rsid w:val="00D67B3B"/>
    <w:rsid w:val="00D71150"/>
    <w:rsid w:val="00D75C2B"/>
    <w:rsid w:val="00D75D47"/>
    <w:rsid w:val="00D83F6C"/>
    <w:rsid w:val="00D90079"/>
    <w:rsid w:val="00D93A9E"/>
    <w:rsid w:val="00D979E8"/>
    <w:rsid w:val="00DA3271"/>
    <w:rsid w:val="00DA64EF"/>
    <w:rsid w:val="00DB187B"/>
    <w:rsid w:val="00DB23AF"/>
    <w:rsid w:val="00DB4847"/>
    <w:rsid w:val="00DC4FF8"/>
    <w:rsid w:val="00DC729D"/>
    <w:rsid w:val="00DD0965"/>
    <w:rsid w:val="00DD12C9"/>
    <w:rsid w:val="00DD19C3"/>
    <w:rsid w:val="00DD225D"/>
    <w:rsid w:val="00DD2A15"/>
    <w:rsid w:val="00DE2FC1"/>
    <w:rsid w:val="00DF10FF"/>
    <w:rsid w:val="00DF35DE"/>
    <w:rsid w:val="00DF443F"/>
    <w:rsid w:val="00DF792D"/>
    <w:rsid w:val="00E0085D"/>
    <w:rsid w:val="00E04DF4"/>
    <w:rsid w:val="00E0570F"/>
    <w:rsid w:val="00E0577E"/>
    <w:rsid w:val="00E16F0B"/>
    <w:rsid w:val="00E24A11"/>
    <w:rsid w:val="00E25132"/>
    <w:rsid w:val="00E30BC1"/>
    <w:rsid w:val="00E31F44"/>
    <w:rsid w:val="00E444BB"/>
    <w:rsid w:val="00E50855"/>
    <w:rsid w:val="00E51479"/>
    <w:rsid w:val="00E53ED7"/>
    <w:rsid w:val="00E543BD"/>
    <w:rsid w:val="00E600BB"/>
    <w:rsid w:val="00E64CC7"/>
    <w:rsid w:val="00E665E0"/>
    <w:rsid w:val="00E73FA7"/>
    <w:rsid w:val="00E82512"/>
    <w:rsid w:val="00E83632"/>
    <w:rsid w:val="00EA014E"/>
    <w:rsid w:val="00EA5787"/>
    <w:rsid w:val="00EB1545"/>
    <w:rsid w:val="00EC3933"/>
    <w:rsid w:val="00EC5593"/>
    <w:rsid w:val="00EC65C2"/>
    <w:rsid w:val="00ED458D"/>
    <w:rsid w:val="00ED5216"/>
    <w:rsid w:val="00ED54B3"/>
    <w:rsid w:val="00ED65FD"/>
    <w:rsid w:val="00EE3CD0"/>
    <w:rsid w:val="00EE5FBD"/>
    <w:rsid w:val="00F00329"/>
    <w:rsid w:val="00F04715"/>
    <w:rsid w:val="00F16E70"/>
    <w:rsid w:val="00F17C80"/>
    <w:rsid w:val="00F20195"/>
    <w:rsid w:val="00F22DDE"/>
    <w:rsid w:val="00F266B3"/>
    <w:rsid w:val="00F26959"/>
    <w:rsid w:val="00F31AC7"/>
    <w:rsid w:val="00F32378"/>
    <w:rsid w:val="00F32B4C"/>
    <w:rsid w:val="00F32CC9"/>
    <w:rsid w:val="00F37E09"/>
    <w:rsid w:val="00F67157"/>
    <w:rsid w:val="00F70871"/>
    <w:rsid w:val="00F72681"/>
    <w:rsid w:val="00F74D8A"/>
    <w:rsid w:val="00F75A77"/>
    <w:rsid w:val="00F77DF8"/>
    <w:rsid w:val="00F812EF"/>
    <w:rsid w:val="00F90011"/>
    <w:rsid w:val="00F90E95"/>
    <w:rsid w:val="00FA192F"/>
    <w:rsid w:val="00FA3111"/>
    <w:rsid w:val="00FA3458"/>
    <w:rsid w:val="00FA60AA"/>
    <w:rsid w:val="00FB69CD"/>
    <w:rsid w:val="00FC3041"/>
    <w:rsid w:val="00FC4E7A"/>
    <w:rsid w:val="00FC72EA"/>
    <w:rsid w:val="00FD5B2F"/>
    <w:rsid w:val="00FE009C"/>
    <w:rsid w:val="00FF01D5"/>
    <w:rsid w:val="00FF1291"/>
    <w:rsid w:val="00FF3F39"/>
    <w:rsid w:val="00FF4A1F"/>
    <w:rsid w:val="00FF5261"/>
    <w:rsid w:val="00FF7AE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D819D7"/>
  <w15:chartTrackingRefBased/>
  <w15:docId w15:val="{4A3F68CF-B716-4761-8D02-09A56BF7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24" w:qFormat="1"/>
    <w:lsdException w:name="heading 2" w:semiHidden="1" w:uiPriority="24" w:qFormat="1"/>
    <w:lsdException w:name="heading 3" w:semiHidden="1" w:uiPriority="24" w:qFormat="1"/>
    <w:lsdException w:name="heading 4" w:semiHidden="1" w:uiPriority="24" w:qFormat="1"/>
    <w:lsdException w:name="heading 5" w:semiHidden="1" w:uiPriority="24" w:qFormat="1"/>
    <w:lsdException w:name="heading 6" w:semiHidden="1" w:uiPriority="24" w:qFormat="1"/>
    <w:lsdException w:name="heading 7" w:semiHidden="1" w:uiPriority="24" w:qFormat="1"/>
    <w:lsdException w:name="heading 8" w:semiHidden="1" w:uiPriority="24" w:qFormat="1"/>
    <w:lsdException w:name="heading 9" w:semiHidden="1" w:uiPriority="2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8" w:unhideWhenUsed="1"/>
    <w:lsdException w:name="toc 2" w:semiHidden="1" w:uiPriority="18" w:unhideWhenUsed="1"/>
    <w:lsdException w:name="toc 3" w:semiHidden="1" w:uiPriority="1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1"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713835"/>
    <w:pPr>
      <w:spacing w:before="120" w:after="120" w:line="264" w:lineRule="auto"/>
    </w:pPr>
    <w:rPr>
      <w:rFonts w:ascii="Noto Sans" w:hAnsi="Noto Sans" w:cs="Noto Sans"/>
      <w:sz w:val="18"/>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Body">
    <w:name w:val="Box Body"/>
    <w:link w:val="BoxBodyChar"/>
    <w:uiPriority w:val="13"/>
    <w:qFormat/>
    <w:rsid w:val="0076255D"/>
    <w:pPr>
      <w:spacing w:before="60" w:after="60" w:line="240" w:lineRule="auto"/>
      <w:jc w:val="both"/>
    </w:pPr>
    <w:rPr>
      <w:rFonts w:ascii="Noto Sans" w:eastAsia="Noto Sans SC Regular" w:hAnsi="Noto Sans" w:cs="Noto Sans"/>
      <w:sz w:val="18"/>
      <w:szCs w:val="18"/>
      <w:lang w:val="es-ES"/>
    </w:rPr>
  </w:style>
  <w:style w:type="character" w:customStyle="1" w:styleId="BoxBodyChar">
    <w:name w:val="Box Body Char"/>
    <w:basedOn w:val="DefaultParagraphFont"/>
    <w:link w:val="BoxBody"/>
    <w:uiPriority w:val="13"/>
    <w:rsid w:val="0076255D"/>
    <w:rPr>
      <w:rFonts w:ascii="Noto Sans" w:eastAsia="Noto Sans SC Regular" w:hAnsi="Noto Sans" w:cs="Noto Sans"/>
      <w:sz w:val="18"/>
      <w:szCs w:val="18"/>
      <w:lang w:val="es-ES"/>
    </w:rPr>
  </w:style>
  <w:style w:type="paragraph" w:styleId="Header">
    <w:name w:val="header"/>
    <w:basedOn w:val="Normal"/>
    <w:link w:val="HeaderChar"/>
    <w:uiPriority w:val="99"/>
    <w:rsid w:val="00B2460A"/>
    <w:pPr>
      <w:tabs>
        <w:tab w:val="left" w:pos="227"/>
        <w:tab w:val="right" w:pos="10204"/>
      </w:tabs>
      <w:spacing w:before="0" w:after="0"/>
    </w:pPr>
    <w:rPr>
      <w:rFonts w:cs="Noto Sans SemBd"/>
      <w:bCs/>
      <w:color w:val="1E2DBE"/>
    </w:rPr>
  </w:style>
  <w:style w:type="character" w:customStyle="1" w:styleId="HeaderChar">
    <w:name w:val="Header Char"/>
    <w:basedOn w:val="DefaultParagraphFont"/>
    <w:link w:val="Header"/>
    <w:uiPriority w:val="99"/>
    <w:rsid w:val="009D529A"/>
    <w:rPr>
      <w:rFonts w:ascii="Noto Sans" w:hAnsi="Noto Sans" w:cs="Noto Sans SemBd"/>
      <w:bCs/>
      <w:color w:val="1E2DBE"/>
      <w:sz w:val="18"/>
      <w:szCs w:val="18"/>
      <w:lang w:val="en-GB"/>
    </w:rPr>
  </w:style>
  <w:style w:type="paragraph" w:customStyle="1" w:styleId="BoxBodyNumbered">
    <w:name w:val="Box Body Numbered"/>
    <w:link w:val="BoxBodyNumberedChar"/>
    <w:uiPriority w:val="13"/>
    <w:qFormat/>
    <w:rsid w:val="0076255D"/>
    <w:pPr>
      <w:numPr>
        <w:numId w:val="20"/>
      </w:numPr>
      <w:tabs>
        <w:tab w:val="num" w:pos="360"/>
      </w:tabs>
      <w:spacing w:before="60" w:after="60" w:line="240" w:lineRule="auto"/>
      <w:ind w:left="0" w:firstLine="0"/>
      <w:jc w:val="both"/>
    </w:pPr>
    <w:rPr>
      <w:rFonts w:ascii="Noto Sans" w:eastAsia="Noto Sans SC Regular" w:hAnsi="Noto Sans" w:cs="Noto Sans"/>
      <w:sz w:val="18"/>
      <w:szCs w:val="18"/>
      <w:lang w:val="es-ES"/>
    </w:rPr>
  </w:style>
  <w:style w:type="character" w:customStyle="1" w:styleId="BoxBodyNumberedChar">
    <w:name w:val="Box Body Numbered Char"/>
    <w:basedOn w:val="DefaultParagraphFont"/>
    <w:link w:val="BoxBodyNumbered"/>
    <w:uiPriority w:val="13"/>
    <w:rsid w:val="0076255D"/>
    <w:rPr>
      <w:rFonts w:ascii="Noto Sans" w:eastAsia="Noto Sans SC Regular" w:hAnsi="Noto Sans" w:cs="Noto Sans"/>
      <w:sz w:val="18"/>
      <w:szCs w:val="18"/>
      <w:lang w:val="es-ES"/>
    </w:rPr>
  </w:style>
  <w:style w:type="paragraph" w:customStyle="1" w:styleId="BoxIndent1">
    <w:name w:val="Box Indent 1"/>
    <w:link w:val="BoxIndent1Char"/>
    <w:uiPriority w:val="13"/>
    <w:qFormat/>
    <w:rsid w:val="0076255D"/>
    <w:pPr>
      <w:spacing w:before="60" w:after="60" w:line="240" w:lineRule="auto"/>
      <w:ind w:left="680" w:hanging="340"/>
      <w:jc w:val="both"/>
    </w:pPr>
    <w:rPr>
      <w:rFonts w:ascii="Noto Sans" w:eastAsia="Noto Sans SC Regular" w:hAnsi="Noto Sans" w:cs="Noto Sans"/>
      <w:sz w:val="18"/>
      <w:szCs w:val="18"/>
      <w:lang w:val="es-ES"/>
    </w:rPr>
  </w:style>
  <w:style w:type="character" w:customStyle="1" w:styleId="BoxIndent1Char">
    <w:name w:val="Box Indent 1 Char"/>
    <w:basedOn w:val="DefaultParagraphFont"/>
    <w:link w:val="BoxIndent1"/>
    <w:uiPriority w:val="13"/>
    <w:rsid w:val="0076255D"/>
    <w:rPr>
      <w:rFonts w:ascii="Noto Sans" w:eastAsia="Noto Sans SC Regular" w:hAnsi="Noto Sans" w:cs="Noto Sans"/>
      <w:sz w:val="18"/>
      <w:szCs w:val="18"/>
      <w:lang w:val="es-ES"/>
    </w:rPr>
  </w:style>
  <w:style w:type="paragraph" w:customStyle="1" w:styleId="BoxIndent2">
    <w:name w:val="Box Indent 2"/>
    <w:basedOn w:val="BoxIndent1"/>
    <w:link w:val="BoxIndent2Char"/>
    <w:uiPriority w:val="13"/>
    <w:qFormat/>
    <w:rsid w:val="0076255D"/>
    <w:pPr>
      <w:ind w:left="1020"/>
    </w:pPr>
  </w:style>
  <w:style w:type="character" w:customStyle="1" w:styleId="BoxIndent2Char">
    <w:name w:val="Box Indent 2 Char"/>
    <w:basedOn w:val="DefaultParagraphFont"/>
    <w:link w:val="BoxIndent2"/>
    <w:uiPriority w:val="13"/>
    <w:rsid w:val="0076255D"/>
    <w:rPr>
      <w:rFonts w:ascii="Noto Sans" w:eastAsia="Noto Sans SC Regular" w:hAnsi="Noto Sans" w:cs="Noto Sans"/>
      <w:sz w:val="18"/>
      <w:szCs w:val="18"/>
      <w:lang w:val="es-ES"/>
    </w:rPr>
  </w:style>
  <w:style w:type="paragraph" w:customStyle="1" w:styleId="BoxIndentbluebulletlist1">
    <w:name w:val="Box Indent blue bullet list 1"/>
    <w:link w:val="BoxIndentbluebulletlist1Char"/>
    <w:uiPriority w:val="13"/>
    <w:qFormat/>
    <w:rsid w:val="00231F1D"/>
    <w:pPr>
      <w:numPr>
        <w:numId w:val="30"/>
      </w:numPr>
      <w:spacing w:after="0" w:line="240" w:lineRule="auto"/>
      <w:jc w:val="both"/>
    </w:pPr>
    <w:rPr>
      <w:rFonts w:ascii="Noto Sans" w:eastAsia="Noto Sans SC Regular" w:hAnsi="Noto Sans" w:cs="Noto Sans"/>
      <w:color w:val="000000" w:themeColor="text1"/>
      <w:sz w:val="18"/>
      <w:szCs w:val="18"/>
      <w:lang w:val="es-ES"/>
    </w:rPr>
  </w:style>
  <w:style w:type="character" w:customStyle="1" w:styleId="BoxIndentbluebulletlist1Char">
    <w:name w:val="Box Indent blue bullet list 1 Char"/>
    <w:basedOn w:val="DefaultParagraphFont"/>
    <w:link w:val="BoxIndentbluebulletlist1"/>
    <w:uiPriority w:val="13"/>
    <w:rsid w:val="00231F1D"/>
    <w:rPr>
      <w:rFonts w:ascii="Noto Sans" w:eastAsia="Noto Sans SC Regular" w:hAnsi="Noto Sans" w:cs="Noto Sans"/>
      <w:color w:val="000000" w:themeColor="text1"/>
      <w:sz w:val="18"/>
      <w:szCs w:val="18"/>
      <w:lang w:val="es-ES"/>
    </w:rPr>
  </w:style>
  <w:style w:type="paragraph" w:customStyle="1" w:styleId="BoxIndentbluebulletlist2">
    <w:name w:val="Box Indent blue bullet list 2"/>
    <w:basedOn w:val="BoxIndentbluebulletlist1"/>
    <w:link w:val="BoxIndentbluebulletlist2Char"/>
    <w:uiPriority w:val="13"/>
    <w:qFormat/>
    <w:rsid w:val="00231F1D"/>
    <w:pPr>
      <w:numPr>
        <w:ilvl w:val="1"/>
      </w:numPr>
    </w:pPr>
    <w:rPr>
      <w:lang w:val="en-GB"/>
    </w:rPr>
  </w:style>
  <w:style w:type="character" w:customStyle="1" w:styleId="BoxIndentbluebulletlist2Char">
    <w:name w:val="Box Indent blue bullet list 2 Char"/>
    <w:basedOn w:val="DefaultParagraphFont"/>
    <w:link w:val="BoxIndentbluebulletlist2"/>
    <w:uiPriority w:val="13"/>
    <w:rsid w:val="00231F1D"/>
    <w:rPr>
      <w:rFonts w:ascii="Noto Sans" w:eastAsia="Noto Sans SC Regular" w:hAnsi="Noto Sans" w:cs="Noto Sans"/>
      <w:color w:val="000000" w:themeColor="text1"/>
      <w:sz w:val="18"/>
      <w:szCs w:val="18"/>
      <w:lang w:val="en-GB"/>
    </w:rPr>
  </w:style>
  <w:style w:type="paragraph" w:customStyle="1" w:styleId="BoxIndentletterlistS">
    <w:name w:val="Box Indent letter list S"/>
    <w:basedOn w:val="BoxBodyNumbered"/>
    <w:link w:val="BoxIndentletterlistSChar"/>
    <w:uiPriority w:val="13"/>
    <w:qFormat/>
    <w:rsid w:val="0076255D"/>
    <w:pPr>
      <w:numPr>
        <w:ilvl w:val="1"/>
      </w:numPr>
    </w:pPr>
  </w:style>
  <w:style w:type="character" w:customStyle="1" w:styleId="BoxIndentletterlistSChar">
    <w:name w:val="Box Indent letter list S Char"/>
    <w:basedOn w:val="DefaultParagraphFont"/>
    <w:link w:val="BoxIndentletterlistS"/>
    <w:uiPriority w:val="13"/>
    <w:rsid w:val="0076255D"/>
    <w:rPr>
      <w:rFonts w:ascii="Noto Sans" w:eastAsia="Noto Sans SC Regular" w:hAnsi="Noto Sans" w:cs="Noto Sans"/>
      <w:sz w:val="18"/>
      <w:szCs w:val="18"/>
      <w:lang w:val="es-ES"/>
    </w:rPr>
  </w:style>
  <w:style w:type="paragraph" w:customStyle="1" w:styleId="GBQuotationStyle1">
    <w:name w:val="GB Quotation Style 1"/>
    <w:link w:val="GBQuotationStyle1Char"/>
    <w:uiPriority w:val="17"/>
    <w:qFormat/>
    <w:rsid w:val="00E665E0"/>
    <w:pPr>
      <w:spacing w:before="60" w:after="60" w:line="240" w:lineRule="auto"/>
      <w:ind w:left="1701"/>
      <w:jc w:val="both"/>
    </w:pPr>
    <w:rPr>
      <w:rFonts w:ascii="Noto Sans" w:eastAsia="Noto Sans SC Regular" w:hAnsi="Noto Sans" w:cs="Noto Sans"/>
      <w:sz w:val="18"/>
      <w:szCs w:val="18"/>
      <w:lang w:val="es-ES"/>
    </w:rPr>
  </w:style>
  <w:style w:type="character" w:customStyle="1" w:styleId="GBQuotationStyle1Char">
    <w:name w:val="GB Quotation Style 1 Char"/>
    <w:basedOn w:val="DefaultParagraphFont"/>
    <w:link w:val="GBQuotationStyle1"/>
    <w:uiPriority w:val="17"/>
    <w:rsid w:val="00E665E0"/>
    <w:rPr>
      <w:rFonts w:ascii="Noto Sans" w:eastAsia="Noto Sans SC Regular" w:hAnsi="Noto Sans" w:cs="Noto Sans"/>
      <w:sz w:val="18"/>
      <w:szCs w:val="18"/>
      <w:lang w:val="es-ES"/>
    </w:rPr>
  </w:style>
  <w:style w:type="paragraph" w:customStyle="1" w:styleId="GBQuotationStyle2QuoteText">
    <w:name w:val="GB Quotation Style 2 Quote Text"/>
    <w:uiPriority w:val="17"/>
    <w:qFormat/>
    <w:rsid w:val="00E665E0"/>
    <w:pPr>
      <w:spacing w:before="60" w:after="60" w:line="240" w:lineRule="auto"/>
      <w:jc w:val="both"/>
    </w:pPr>
    <w:rPr>
      <w:rFonts w:ascii="Noto Sans" w:eastAsia="Noto Sans SC Regular" w:hAnsi="Noto Sans" w:cs="Noto Sans"/>
      <w:sz w:val="18"/>
      <w:szCs w:val="18"/>
      <w:lang w:val="es-ES"/>
    </w:rPr>
  </w:style>
  <w:style w:type="paragraph" w:customStyle="1" w:styleId="GBQuotationStyle2Quotationmarks">
    <w:name w:val="GB Quotation Style 2 Quotation marks"/>
    <w:basedOn w:val="GBQuotationStyle2QuoteText"/>
    <w:uiPriority w:val="17"/>
    <w:rsid w:val="00E665E0"/>
    <w:pPr>
      <w:spacing w:before="120"/>
    </w:pPr>
  </w:style>
  <w:style w:type="paragraph" w:customStyle="1" w:styleId="GBQuotationStyle2QuoteSource">
    <w:name w:val="GB Quotation Style 2 Quote Source"/>
    <w:link w:val="GBQuotationStyle2QuoteSourceChar"/>
    <w:uiPriority w:val="17"/>
    <w:qFormat/>
    <w:rsid w:val="00E665E0"/>
    <w:pPr>
      <w:spacing w:before="60" w:after="60" w:line="240" w:lineRule="auto"/>
      <w:jc w:val="both"/>
    </w:pPr>
    <w:rPr>
      <w:rFonts w:ascii="Noto Sans" w:eastAsia="Noto Sans SC Regular" w:hAnsi="Noto Sans" w:cs="Noto Sans"/>
      <w:sz w:val="15"/>
      <w:szCs w:val="15"/>
      <w:lang w:val="es-ES"/>
    </w:rPr>
  </w:style>
  <w:style w:type="character" w:customStyle="1" w:styleId="GBQuotationStyle2QuoteSourceChar">
    <w:name w:val="GB Quotation Style 2 Quote Source Char"/>
    <w:basedOn w:val="DefaultParagraphFont"/>
    <w:link w:val="GBQuotationStyle2QuoteSource"/>
    <w:uiPriority w:val="17"/>
    <w:rsid w:val="00E665E0"/>
    <w:rPr>
      <w:rFonts w:ascii="Noto Sans" w:eastAsia="Noto Sans SC Regular" w:hAnsi="Noto Sans" w:cs="Noto Sans"/>
      <w:sz w:val="15"/>
      <w:szCs w:val="15"/>
      <w:lang w:val="es-ES"/>
    </w:rPr>
  </w:style>
  <w:style w:type="paragraph" w:styleId="Footer">
    <w:name w:val="footer"/>
    <w:basedOn w:val="Normal"/>
    <w:link w:val="FooterChar"/>
    <w:uiPriority w:val="99"/>
    <w:semiHidden/>
    <w:rsid w:val="009D529A"/>
    <w:pPr>
      <w:tabs>
        <w:tab w:val="center" w:pos="4513"/>
        <w:tab w:val="right" w:pos="9026"/>
      </w:tabs>
      <w:spacing w:before="0" w:after="0" w:line="240" w:lineRule="auto"/>
    </w:pPr>
    <w:rPr>
      <w:rFonts w:eastAsia="Noto Sans SC Regular"/>
      <w:sz w:val="20"/>
      <w:szCs w:val="20"/>
      <w:lang w:eastAsia="zh-CN"/>
    </w:rPr>
  </w:style>
  <w:style w:type="character" w:customStyle="1" w:styleId="FooterChar">
    <w:name w:val="Footer Char"/>
    <w:basedOn w:val="DefaultParagraphFont"/>
    <w:link w:val="Footer"/>
    <w:uiPriority w:val="99"/>
    <w:semiHidden/>
    <w:rsid w:val="009D529A"/>
    <w:rPr>
      <w:rFonts w:ascii="Noto Sans" w:eastAsia="Noto Sans SC Regular" w:hAnsi="Noto Sans" w:cs="Noto Sans"/>
      <w:sz w:val="20"/>
      <w:szCs w:val="20"/>
      <w:lang w:val="en-GB" w:eastAsia="zh-CN"/>
    </w:rPr>
  </w:style>
  <w:style w:type="character" w:styleId="FootnoteReference">
    <w:name w:val="footnote reference"/>
    <w:basedOn w:val="DefaultParagraphFont"/>
    <w:rsid w:val="000F64B4"/>
    <w:rPr>
      <w:vertAlign w:val="superscript"/>
      <w:lang w:val="es-ES"/>
    </w:rPr>
  </w:style>
  <w:style w:type="paragraph" w:customStyle="1" w:styleId="FootnoteSeparator">
    <w:name w:val="Footnote Separator"/>
    <w:link w:val="FootnoteSeparatorChar"/>
    <w:uiPriority w:val="4"/>
    <w:rsid w:val="000068E1"/>
    <w:pPr>
      <w:pBdr>
        <w:bottom w:val="single" w:sz="8" w:space="1" w:color="1E2CBD"/>
      </w:pBdr>
      <w:spacing w:before="120" w:after="60" w:line="240" w:lineRule="auto"/>
      <w:ind w:left="340" w:right="8505"/>
    </w:pPr>
    <w:rPr>
      <w:rFonts w:ascii="Noto Sans" w:eastAsia="Noto Sans SC Regular" w:hAnsi="Noto Sans" w:cs="Noto Sans"/>
      <w:sz w:val="20"/>
      <w:szCs w:val="20"/>
      <w:lang w:val="es-ES"/>
    </w:rPr>
  </w:style>
  <w:style w:type="character" w:customStyle="1" w:styleId="FootnoteSeparatorChar">
    <w:name w:val="Footnote Separator Char"/>
    <w:basedOn w:val="DefaultParagraphFont"/>
    <w:link w:val="FootnoteSeparator"/>
    <w:uiPriority w:val="4"/>
    <w:rsid w:val="00371979"/>
    <w:rPr>
      <w:rFonts w:ascii="Noto Sans" w:eastAsia="Noto Sans SC Regular" w:hAnsi="Noto Sans" w:cs="Noto Sans"/>
      <w:sz w:val="20"/>
      <w:szCs w:val="20"/>
      <w:lang w:val="es-ES"/>
    </w:rPr>
  </w:style>
  <w:style w:type="paragraph" w:styleId="FootnoteText">
    <w:name w:val="footnote text"/>
    <w:link w:val="FootnoteTextChar"/>
    <w:uiPriority w:val="99"/>
    <w:rsid w:val="000068E1"/>
    <w:pPr>
      <w:spacing w:before="60" w:after="60" w:line="240" w:lineRule="auto"/>
      <w:ind w:left="340"/>
      <w:jc w:val="both"/>
    </w:pPr>
    <w:rPr>
      <w:rFonts w:ascii="Noto Sans" w:eastAsia="Noto Sans SC Regular" w:hAnsi="Noto Sans" w:cs="Noto Sans"/>
      <w:color w:val="000000"/>
      <w:sz w:val="16"/>
      <w:szCs w:val="16"/>
      <w:lang w:val="es-ES"/>
    </w:rPr>
  </w:style>
  <w:style w:type="character" w:customStyle="1" w:styleId="FootnoteTextChar">
    <w:name w:val="Footnote Text Char"/>
    <w:basedOn w:val="DefaultParagraphFont"/>
    <w:link w:val="FootnoteText"/>
    <w:uiPriority w:val="99"/>
    <w:rsid w:val="00371979"/>
    <w:rPr>
      <w:rFonts w:ascii="Noto Sans" w:eastAsia="Noto Sans SC Regular" w:hAnsi="Noto Sans" w:cs="Noto Sans"/>
      <w:color w:val="000000"/>
      <w:sz w:val="16"/>
      <w:szCs w:val="16"/>
      <w:lang w:val="es-ES"/>
    </w:rPr>
  </w:style>
  <w:style w:type="paragraph" w:customStyle="1" w:styleId="GBAgendaitem">
    <w:name w:val="GB Agenda item"/>
    <w:next w:val="GBDoctitle"/>
    <w:link w:val="GBAgendaitemChar"/>
    <w:uiPriority w:val="2"/>
    <w:rsid w:val="000068E1"/>
    <w:pPr>
      <w:keepNext/>
      <w:keepLines/>
      <w:spacing w:before="600" w:after="120" w:line="240" w:lineRule="auto"/>
    </w:pPr>
    <w:rPr>
      <w:rFonts w:ascii="Overpass Light" w:eastAsia="Noto Sans SC Regular" w:hAnsi="Overpass Light" w:cs="Noto Sans"/>
      <w:color w:val="230050"/>
      <w:sz w:val="28"/>
      <w:szCs w:val="28"/>
      <w:lang w:val="es-ES"/>
    </w:rPr>
  </w:style>
  <w:style w:type="character" w:customStyle="1" w:styleId="GBAgendaitemChar">
    <w:name w:val="GB Agenda item Char"/>
    <w:basedOn w:val="DefaultParagraphFont"/>
    <w:link w:val="GBAgendaitem"/>
    <w:uiPriority w:val="2"/>
    <w:rsid w:val="00371979"/>
    <w:rPr>
      <w:rFonts w:ascii="Overpass Light" w:eastAsia="Noto Sans SC Regular" w:hAnsi="Overpass Light" w:cs="Noto Sans"/>
      <w:color w:val="230050"/>
      <w:sz w:val="28"/>
      <w:szCs w:val="28"/>
      <w:lang w:val="es-ES"/>
    </w:rPr>
  </w:style>
  <w:style w:type="paragraph" w:customStyle="1" w:styleId="GBNormal">
    <w:name w:val="GB Normal"/>
    <w:uiPriority w:val="4"/>
    <w:qFormat/>
    <w:rsid w:val="003C09A0"/>
    <w:pPr>
      <w:spacing w:after="0" w:line="240" w:lineRule="auto"/>
    </w:pPr>
    <w:rPr>
      <w:rFonts w:ascii="Noto Sans" w:eastAsia="Noto Sans SC Regular" w:hAnsi="Noto Sans" w:cs="Noto Sans"/>
      <w:sz w:val="20"/>
      <w:szCs w:val="20"/>
      <w:lang w:val="es-ES"/>
    </w:rPr>
  </w:style>
  <w:style w:type="paragraph" w:customStyle="1" w:styleId="GBTableTitleS">
    <w:name w:val="GB Table Title S"/>
    <w:next w:val="GBPara"/>
    <w:uiPriority w:val="15"/>
    <w:qFormat/>
    <w:rsid w:val="00BB5672"/>
    <w:pPr>
      <w:keepNext/>
      <w:keepLines/>
      <w:numPr>
        <w:numId w:val="24"/>
      </w:numPr>
      <w:tabs>
        <w:tab w:val="left" w:pos="1814"/>
      </w:tabs>
      <w:spacing w:before="240" w:after="120" w:line="240" w:lineRule="auto"/>
    </w:pPr>
    <w:rPr>
      <w:rFonts w:ascii="Noto Sans" w:eastAsia="Noto Sans SC Regular" w:hAnsi="Noto Sans" w:cs="Noto Sans"/>
      <w:b/>
      <w:color w:val="1E2DBE"/>
      <w:sz w:val="20"/>
      <w:szCs w:val="20"/>
      <w:lang w:val="es-ES"/>
    </w:rPr>
  </w:style>
  <w:style w:type="paragraph" w:customStyle="1" w:styleId="GBBoxTitleS">
    <w:name w:val="GB Box Title S"/>
    <w:basedOn w:val="GBTableTitleS"/>
    <w:next w:val="GBPara"/>
    <w:uiPriority w:val="12"/>
    <w:qFormat/>
    <w:rsid w:val="00CB1012"/>
    <w:pPr>
      <w:tabs>
        <w:tab w:val="clear" w:pos="1814"/>
        <w:tab w:val="left" w:pos="2041"/>
      </w:tabs>
    </w:pPr>
  </w:style>
  <w:style w:type="paragraph" w:customStyle="1" w:styleId="GBCoverpageBlueline">
    <w:name w:val="GB Cover page Blue line"/>
    <w:basedOn w:val="GBNormal"/>
    <w:uiPriority w:val="1"/>
    <w:rsid w:val="001E4FBB"/>
    <w:pPr>
      <w:spacing w:before="20" w:after="20"/>
      <w:ind w:left="-142" w:right="340"/>
    </w:pPr>
    <w:rPr>
      <w:b/>
      <w:color w:val="1E2CBD"/>
    </w:rPr>
  </w:style>
  <w:style w:type="paragraph" w:customStyle="1" w:styleId="GBCoverpageDate">
    <w:name w:val="GB Cover page Date"/>
    <w:basedOn w:val="GBNormal"/>
    <w:link w:val="GBCoverpageDateChar"/>
    <w:uiPriority w:val="1"/>
    <w:rsid w:val="001E4FBB"/>
    <w:pPr>
      <w:spacing w:before="40" w:after="40"/>
    </w:pPr>
    <w:rPr>
      <w:b/>
      <w:color w:val="230050"/>
      <w:sz w:val="18"/>
      <w:szCs w:val="18"/>
      <w:lang w:val="de-DE"/>
    </w:rPr>
  </w:style>
  <w:style w:type="character" w:customStyle="1" w:styleId="GBCoverpageDateChar">
    <w:name w:val="GB Cover page Date Char"/>
    <w:basedOn w:val="DefaultParagraphFont"/>
    <w:link w:val="GBCoverpageDate"/>
    <w:uiPriority w:val="1"/>
    <w:rsid w:val="001E4FBB"/>
    <w:rPr>
      <w:rFonts w:ascii="Noto Sans" w:eastAsia="Noto Sans SC Regular" w:hAnsi="Noto Sans" w:cs="Noto Sans"/>
      <w:b/>
      <w:color w:val="230050"/>
      <w:sz w:val="18"/>
      <w:szCs w:val="18"/>
      <w:lang w:val="de-DE"/>
    </w:rPr>
  </w:style>
  <w:style w:type="paragraph" w:customStyle="1" w:styleId="GBCoverpageGoverningbody">
    <w:name w:val="GB Cover page Governing body"/>
    <w:next w:val="GBNormal"/>
    <w:uiPriority w:val="1"/>
    <w:rsid w:val="001E4FBB"/>
    <w:pPr>
      <w:keepNext/>
      <w:keepLines/>
      <w:spacing w:before="760" w:after="0" w:line="240" w:lineRule="auto"/>
    </w:pPr>
    <w:rPr>
      <w:rFonts w:ascii="Overpass" w:eastAsia="Noto Sans SC Bold" w:hAnsi="Overpass" w:cs="Overpass"/>
      <w:b/>
      <w:color w:val="230050"/>
      <w:sz w:val="52"/>
      <w:szCs w:val="52"/>
      <w:lang w:val="es-ES" w:eastAsia="zh-CN"/>
    </w:rPr>
  </w:style>
  <w:style w:type="paragraph" w:customStyle="1" w:styleId="GBCoverpageSectioncode">
    <w:name w:val="GB Cover page Section code"/>
    <w:link w:val="GBCoverpageSectioncodeChar"/>
    <w:uiPriority w:val="1"/>
    <w:rsid w:val="003C09A0"/>
    <w:pPr>
      <w:spacing w:after="0" w:line="240" w:lineRule="auto"/>
      <w:ind w:right="85"/>
      <w:jc w:val="right"/>
    </w:pPr>
    <w:rPr>
      <w:rFonts w:ascii="Overpass" w:eastAsia="Noto Sans SC Bold" w:hAnsi="Overpass" w:cs="Noto Sans"/>
      <w:b/>
      <w:color w:val="230050"/>
      <w:sz w:val="36"/>
      <w:szCs w:val="36"/>
      <w:lang w:val="es-ES" w:eastAsia="de-DE"/>
    </w:rPr>
  </w:style>
  <w:style w:type="character" w:customStyle="1" w:styleId="GBCoverpageSectioncodeChar">
    <w:name w:val="GB Cover page Section code Char"/>
    <w:basedOn w:val="DefaultParagraphFont"/>
    <w:link w:val="GBCoverpageSectioncode"/>
    <w:uiPriority w:val="1"/>
    <w:rsid w:val="003C09A0"/>
    <w:rPr>
      <w:rFonts w:ascii="Overpass" w:eastAsia="Noto Sans SC Bold" w:hAnsi="Overpass" w:cs="Noto Sans"/>
      <w:b/>
      <w:color w:val="230050"/>
      <w:sz w:val="36"/>
      <w:szCs w:val="36"/>
      <w:lang w:val="es-ES" w:eastAsia="de-DE"/>
    </w:rPr>
  </w:style>
  <w:style w:type="paragraph" w:customStyle="1" w:styleId="GBCoverpageSectionname">
    <w:name w:val="GB Cover page Section name"/>
    <w:next w:val="GBCoverpageSegmentname"/>
    <w:link w:val="GBCoverpageSectionnameChar"/>
    <w:uiPriority w:val="1"/>
    <w:rsid w:val="004C17BD"/>
    <w:pPr>
      <w:spacing w:before="20" w:after="0" w:line="240" w:lineRule="auto"/>
    </w:pPr>
    <w:rPr>
      <w:rFonts w:ascii="Overpass" w:eastAsia="Noto Sans SC Bold" w:hAnsi="Overpass" w:cs="Noto Sans"/>
      <w:b/>
      <w:bCs/>
      <w:color w:val="230050"/>
      <w:sz w:val="28"/>
      <w:szCs w:val="28"/>
      <w:lang w:val="es-ES"/>
    </w:rPr>
  </w:style>
  <w:style w:type="character" w:customStyle="1" w:styleId="GBCoverpageSectionnameChar">
    <w:name w:val="GB Cover page Section name Char"/>
    <w:basedOn w:val="DefaultParagraphFont"/>
    <w:link w:val="GBCoverpageSectionname"/>
    <w:uiPriority w:val="1"/>
    <w:rsid w:val="004C17BD"/>
    <w:rPr>
      <w:rFonts w:ascii="Overpass" w:eastAsia="Noto Sans SC Bold" w:hAnsi="Overpass" w:cs="Noto Sans"/>
      <w:b/>
      <w:bCs/>
      <w:color w:val="230050"/>
      <w:sz w:val="28"/>
      <w:szCs w:val="28"/>
      <w:lang w:val="es-ES"/>
    </w:rPr>
  </w:style>
  <w:style w:type="paragraph" w:customStyle="1" w:styleId="GBCoverpageSegmentname">
    <w:name w:val="GB Cover page Segment name"/>
    <w:next w:val="GBCoverpageDate"/>
    <w:link w:val="GBCoverpageSegmentnameChar"/>
    <w:uiPriority w:val="1"/>
    <w:rsid w:val="004C17BD"/>
    <w:pPr>
      <w:spacing w:before="80" w:after="240" w:line="240" w:lineRule="auto"/>
    </w:pPr>
    <w:rPr>
      <w:rFonts w:ascii="Overpass" w:eastAsia="Noto Sans SC Bold" w:hAnsi="Overpass" w:cs="Noto Sans"/>
      <w:b/>
      <w:color w:val="230050"/>
      <w:sz w:val="24"/>
      <w:szCs w:val="24"/>
      <w:lang w:val="es-ES"/>
    </w:rPr>
  </w:style>
  <w:style w:type="character" w:customStyle="1" w:styleId="GBCoverpageSegmentnameChar">
    <w:name w:val="GB Cover page Segment name Char"/>
    <w:basedOn w:val="DefaultParagraphFont"/>
    <w:link w:val="GBCoverpageSegmentname"/>
    <w:uiPriority w:val="1"/>
    <w:rsid w:val="004C17BD"/>
    <w:rPr>
      <w:rFonts w:ascii="Overpass" w:eastAsia="Noto Sans SC Bold" w:hAnsi="Overpass" w:cs="Noto Sans"/>
      <w:b/>
      <w:color w:val="230050"/>
      <w:sz w:val="24"/>
      <w:szCs w:val="24"/>
      <w:lang w:val="es-ES"/>
    </w:rPr>
  </w:style>
  <w:style w:type="paragraph" w:customStyle="1" w:styleId="GBCoverpageSessionlabel">
    <w:name w:val="GB Cover page Session label"/>
    <w:basedOn w:val="GBNormal"/>
    <w:link w:val="GBCoverpageSessionlabelChar"/>
    <w:uiPriority w:val="1"/>
    <w:rsid w:val="000068E1"/>
    <w:pPr>
      <w:spacing w:before="120" w:after="120"/>
    </w:pPr>
    <w:rPr>
      <w:b/>
      <w:color w:val="230050"/>
    </w:rPr>
  </w:style>
  <w:style w:type="character" w:customStyle="1" w:styleId="GBCoverpageSessionlabelChar">
    <w:name w:val="GB Cover page Session label Char"/>
    <w:basedOn w:val="DefaultParagraphFont"/>
    <w:link w:val="GBCoverpageSessionlabel"/>
    <w:uiPriority w:val="1"/>
    <w:rsid w:val="000068E1"/>
    <w:rPr>
      <w:rFonts w:ascii="Noto Sans" w:eastAsia="Noto Sans SC Regular" w:hAnsi="Noto Sans" w:cs="Noto Sans"/>
      <w:b/>
      <w:color w:val="230050"/>
      <w:sz w:val="20"/>
      <w:szCs w:val="20"/>
      <w:lang w:val="es-ES"/>
    </w:rPr>
  </w:style>
  <w:style w:type="paragraph" w:customStyle="1" w:styleId="GBParaNum">
    <w:name w:val="GB ParaNum"/>
    <w:uiPriority w:val="5"/>
    <w:qFormat/>
    <w:rsid w:val="003C09A0"/>
    <w:pPr>
      <w:numPr>
        <w:numId w:val="18"/>
      </w:numPr>
      <w:spacing w:before="120" w:after="120" w:line="240" w:lineRule="auto"/>
      <w:jc w:val="both"/>
    </w:pPr>
    <w:rPr>
      <w:rFonts w:ascii="Noto Sans" w:eastAsia="Noto Sans SC Regular" w:hAnsi="Noto Sans" w:cs="Noto Sans"/>
      <w:sz w:val="20"/>
      <w:szCs w:val="20"/>
      <w:lang w:val="es-ES"/>
    </w:rPr>
  </w:style>
  <w:style w:type="paragraph" w:customStyle="1" w:styleId="GBDecisionPara">
    <w:name w:val="GB Decision Para"/>
    <w:basedOn w:val="GBParaNum"/>
    <w:link w:val="GBDecisionParaChar"/>
    <w:uiPriority w:val="9"/>
    <w:qFormat/>
    <w:rsid w:val="000F64B4"/>
    <w:pPr>
      <w:ind w:left="850" w:hanging="510"/>
    </w:pPr>
    <w:rPr>
      <w:b/>
      <w:bCs/>
    </w:rPr>
  </w:style>
  <w:style w:type="character" w:customStyle="1" w:styleId="GBDecisionParaChar">
    <w:name w:val="GB Decision Para Char"/>
    <w:basedOn w:val="DefaultParagraphFont"/>
    <w:link w:val="GBDecisionPara"/>
    <w:uiPriority w:val="9"/>
    <w:rsid w:val="000F64B4"/>
    <w:rPr>
      <w:rFonts w:ascii="Noto Sans" w:eastAsia="Noto Sans SC Regular" w:hAnsi="Noto Sans" w:cs="Noto Sans"/>
      <w:b/>
      <w:bCs/>
      <w:sz w:val="20"/>
      <w:szCs w:val="20"/>
      <w:lang w:val="es-ES"/>
    </w:rPr>
  </w:style>
  <w:style w:type="paragraph" w:customStyle="1" w:styleId="GBDecisionSub1ParaS">
    <w:name w:val="GB Decision Sub 1 Para S"/>
    <w:link w:val="GBDecisionSub1ParaSChar"/>
    <w:uiPriority w:val="9"/>
    <w:qFormat/>
    <w:rsid w:val="000F64B4"/>
    <w:pPr>
      <w:numPr>
        <w:numId w:val="21"/>
      </w:numPr>
      <w:spacing w:before="120" w:after="120" w:line="240" w:lineRule="auto"/>
      <w:jc w:val="both"/>
    </w:pPr>
    <w:rPr>
      <w:rFonts w:ascii="Noto Sans" w:eastAsia="Noto Sans SC Regular" w:hAnsi="Noto Sans" w:cs="Noto Sans"/>
      <w:b/>
      <w:color w:val="000000" w:themeColor="text1"/>
      <w:sz w:val="20"/>
      <w:szCs w:val="20"/>
      <w:lang w:val="es-ES"/>
    </w:rPr>
  </w:style>
  <w:style w:type="character" w:customStyle="1" w:styleId="GBDecisionSub1ParaSChar">
    <w:name w:val="GB Decision Sub 1 Para S Char"/>
    <w:basedOn w:val="DefaultParagraphFont"/>
    <w:link w:val="GBDecisionSub1ParaS"/>
    <w:uiPriority w:val="9"/>
    <w:rsid w:val="000F64B4"/>
    <w:rPr>
      <w:rFonts w:ascii="Noto Sans" w:eastAsia="Noto Sans SC Regular" w:hAnsi="Noto Sans" w:cs="Noto Sans"/>
      <w:b/>
      <w:color w:val="000000" w:themeColor="text1"/>
      <w:sz w:val="20"/>
      <w:szCs w:val="20"/>
      <w:lang w:val="es-ES"/>
    </w:rPr>
  </w:style>
  <w:style w:type="paragraph" w:customStyle="1" w:styleId="GBDecisionSub2ParaS">
    <w:name w:val="GB Decision Sub 2 Para S"/>
    <w:basedOn w:val="GBDecisionSub1ParaS"/>
    <w:link w:val="GBDecisionSub2ParaSChar"/>
    <w:uiPriority w:val="9"/>
    <w:qFormat/>
    <w:rsid w:val="000F64B4"/>
    <w:pPr>
      <w:numPr>
        <w:ilvl w:val="1"/>
      </w:numPr>
    </w:pPr>
  </w:style>
  <w:style w:type="character" w:customStyle="1" w:styleId="GBDecisionSub2ParaSChar">
    <w:name w:val="GB Decision Sub 2 Para S Char"/>
    <w:basedOn w:val="DefaultParagraphFont"/>
    <w:link w:val="GBDecisionSub2ParaS"/>
    <w:uiPriority w:val="9"/>
    <w:rsid w:val="000F64B4"/>
    <w:rPr>
      <w:rFonts w:ascii="Noto Sans" w:eastAsia="Noto Sans SC Regular" w:hAnsi="Noto Sans" w:cs="Noto Sans"/>
      <w:b/>
      <w:color w:val="000000" w:themeColor="text1"/>
      <w:sz w:val="20"/>
      <w:szCs w:val="20"/>
      <w:lang w:val="es-ES"/>
    </w:rPr>
  </w:style>
  <w:style w:type="paragraph" w:customStyle="1" w:styleId="GBDoctitle">
    <w:name w:val="GB Doc  title"/>
    <w:next w:val="GBDocSub-title"/>
    <w:link w:val="GBDoctitleChar"/>
    <w:uiPriority w:val="2"/>
    <w:rsid w:val="000068E1"/>
    <w:pPr>
      <w:keepNext/>
      <w:keepLines/>
      <w:spacing w:before="240" w:after="120" w:line="240" w:lineRule="auto"/>
    </w:pPr>
    <w:rPr>
      <w:rFonts w:ascii="Overpass" w:eastAsia="Noto Sans SC Bold" w:hAnsi="Overpass" w:cs="Overpass"/>
      <w:b/>
      <w:bCs/>
      <w:color w:val="1E2DBE"/>
      <w:sz w:val="40"/>
      <w:szCs w:val="40"/>
      <w:lang w:val="es-ES"/>
    </w:rPr>
  </w:style>
  <w:style w:type="character" w:customStyle="1" w:styleId="GBDoctitleChar">
    <w:name w:val="GB Doc  title Char"/>
    <w:basedOn w:val="DefaultParagraphFont"/>
    <w:link w:val="GBDoctitle"/>
    <w:uiPriority w:val="2"/>
    <w:rsid w:val="00371979"/>
    <w:rPr>
      <w:rFonts w:ascii="Overpass" w:eastAsia="Noto Sans SC Bold" w:hAnsi="Overpass" w:cs="Overpass"/>
      <w:b/>
      <w:bCs/>
      <w:color w:val="1E2DBE"/>
      <w:sz w:val="40"/>
      <w:szCs w:val="40"/>
      <w:lang w:val="es-ES"/>
    </w:rPr>
  </w:style>
  <w:style w:type="paragraph" w:customStyle="1" w:styleId="GBDocCode">
    <w:name w:val="GB Doc Code"/>
    <w:basedOn w:val="GBNormal"/>
    <w:link w:val="GBDocCodeChar"/>
    <w:rsid w:val="003C09A0"/>
    <w:pPr>
      <w:numPr>
        <w:numId w:val="25"/>
      </w:numPr>
      <w:shd w:val="clear" w:color="auto" w:fill="1E2DBE"/>
      <w:adjustRightInd w:val="0"/>
      <w:spacing w:before="40" w:after="40"/>
    </w:pPr>
    <w:rPr>
      <w:bCs/>
      <w:color w:val="FFFFFF" w:themeColor="background1"/>
      <w:sz w:val="21"/>
      <w:szCs w:val="21"/>
    </w:rPr>
  </w:style>
  <w:style w:type="character" w:customStyle="1" w:styleId="GBDocCodeChar">
    <w:name w:val="GB Doc Code Char"/>
    <w:basedOn w:val="DefaultParagraphFont"/>
    <w:link w:val="GBDocCode"/>
    <w:rsid w:val="003C09A0"/>
    <w:rPr>
      <w:rFonts w:ascii="Noto Sans" w:eastAsia="Noto Sans SC Regular" w:hAnsi="Noto Sans" w:cs="Noto Sans"/>
      <w:bCs/>
      <w:color w:val="FFFFFF" w:themeColor="background1"/>
      <w:sz w:val="21"/>
      <w:szCs w:val="21"/>
      <w:shd w:val="clear" w:color="auto" w:fill="1E2DBE"/>
      <w:lang w:val="es-ES"/>
    </w:rPr>
  </w:style>
  <w:style w:type="paragraph" w:customStyle="1" w:styleId="GBDocSub-title">
    <w:name w:val="GB Doc Sub-title"/>
    <w:next w:val="GBNormal"/>
    <w:link w:val="GBDocSub-titleChar"/>
    <w:uiPriority w:val="2"/>
    <w:rsid w:val="000068E1"/>
    <w:pPr>
      <w:spacing w:before="120" w:after="240" w:line="240" w:lineRule="auto"/>
    </w:pPr>
    <w:rPr>
      <w:rFonts w:ascii="Overpass" w:eastAsia="Noto Sans SC Regular" w:hAnsi="Overpass" w:cs="Noto Sans"/>
      <w:color w:val="1E2DBE"/>
      <w:sz w:val="32"/>
      <w:szCs w:val="32"/>
      <w:lang w:val="es-ES"/>
    </w:rPr>
  </w:style>
  <w:style w:type="character" w:customStyle="1" w:styleId="GBDocSub-titleChar">
    <w:name w:val="GB Doc Sub-title Char"/>
    <w:basedOn w:val="DefaultParagraphFont"/>
    <w:link w:val="GBDocSub-title"/>
    <w:uiPriority w:val="2"/>
    <w:rsid w:val="00371979"/>
    <w:rPr>
      <w:rFonts w:ascii="Overpass" w:eastAsia="Noto Sans SC Regular" w:hAnsi="Overpass" w:cs="Noto Sans"/>
      <w:color w:val="1E2DBE"/>
      <w:sz w:val="32"/>
      <w:szCs w:val="32"/>
      <w:lang w:val="es-ES"/>
    </w:rPr>
  </w:style>
  <w:style w:type="paragraph" w:customStyle="1" w:styleId="GBGraphicNoteSource">
    <w:name w:val="GB Graphic NoteSource"/>
    <w:basedOn w:val="GBNormal"/>
    <w:next w:val="GBParaNum"/>
    <w:uiPriority w:val="11"/>
    <w:qFormat/>
    <w:rsid w:val="00D75D47"/>
    <w:pPr>
      <w:spacing w:before="120" w:after="240"/>
      <w:ind w:left="851"/>
      <w:jc w:val="both"/>
    </w:pPr>
    <w:rPr>
      <w:sz w:val="15"/>
      <w:szCs w:val="15"/>
    </w:rPr>
  </w:style>
  <w:style w:type="paragraph" w:customStyle="1" w:styleId="GBGraphicTitleS">
    <w:name w:val="GB Graphic Title S"/>
    <w:basedOn w:val="GBTableTitleS"/>
    <w:next w:val="GBPara"/>
    <w:uiPriority w:val="10"/>
    <w:qFormat/>
    <w:rsid w:val="00CB1012"/>
    <w:pPr>
      <w:numPr>
        <w:numId w:val="13"/>
      </w:numPr>
    </w:pPr>
  </w:style>
  <w:style w:type="paragraph" w:customStyle="1" w:styleId="GBGreenPrintText">
    <w:name w:val="GB Green Print Text"/>
    <w:basedOn w:val="GBNormal"/>
    <w:link w:val="GBGreenPrintTextChar"/>
    <w:rsid w:val="001E4FBB"/>
    <w:pPr>
      <w:spacing w:before="120"/>
      <w:jc w:val="both"/>
    </w:pPr>
    <w:rPr>
      <w:sz w:val="13"/>
      <w:szCs w:val="13"/>
      <w:lang w:eastAsia="zh-CN"/>
    </w:rPr>
  </w:style>
  <w:style w:type="character" w:customStyle="1" w:styleId="GBGreenPrintTextChar">
    <w:name w:val="GB Green Print Text Char"/>
    <w:basedOn w:val="FooterChar"/>
    <w:link w:val="GBGreenPrintText"/>
    <w:rsid w:val="001E4FBB"/>
    <w:rPr>
      <w:rFonts w:ascii="Noto Sans" w:eastAsia="Noto Sans SC Regular" w:hAnsi="Noto Sans" w:cs="Noto Sans"/>
      <w:sz w:val="13"/>
      <w:szCs w:val="13"/>
      <w:lang w:val="es-ES" w:eastAsia="zh-CN"/>
    </w:rPr>
  </w:style>
  <w:style w:type="paragraph" w:customStyle="1" w:styleId="GBHeader">
    <w:name w:val="GB Header"/>
    <w:basedOn w:val="GBNormal"/>
    <w:link w:val="GBHeaderChar"/>
    <w:rsid w:val="001E4FBB"/>
    <w:pPr>
      <w:numPr>
        <w:numId w:val="22"/>
      </w:numPr>
      <w:spacing w:before="60" w:after="60"/>
    </w:pPr>
    <w:rPr>
      <w:b/>
      <w:color w:val="1E2DBE"/>
      <w:sz w:val="18"/>
      <w:szCs w:val="18"/>
    </w:rPr>
  </w:style>
  <w:style w:type="character" w:customStyle="1" w:styleId="GBHeaderChar">
    <w:name w:val="GB Header Char"/>
    <w:basedOn w:val="DefaultParagraphFont"/>
    <w:link w:val="GBHeader"/>
    <w:rsid w:val="001E4FBB"/>
    <w:rPr>
      <w:rFonts w:ascii="Noto Sans" w:eastAsia="Noto Sans SC Regular" w:hAnsi="Noto Sans" w:cs="Noto Sans"/>
      <w:b/>
      <w:color w:val="1E2DBE"/>
      <w:sz w:val="18"/>
      <w:szCs w:val="18"/>
      <w:lang w:val="es-ES"/>
    </w:rPr>
  </w:style>
  <w:style w:type="paragraph" w:customStyle="1" w:styleId="GBHeading1">
    <w:name w:val="GB Heading 1"/>
    <w:next w:val="GBPara"/>
    <w:link w:val="GBHeading1Char"/>
    <w:uiPriority w:val="3"/>
    <w:qFormat/>
    <w:rsid w:val="000068E1"/>
    <w:pPr>
      <w:keepNext/>
      <w:numPr>
        <w:numId w:val="28"/>
      </w:numPr>
      <w:pBdr>
        <w:bottom w:val="single" w:sz="4" w:space="1" w:color="1E2DBE"/>
      </w:pBdr>
      <w:spacing w:before="480" w:after="360" w:line="240" w:lineRule="auto"/>
      <w:outlineLvl w:val="0"/>
    </w:pPr>
    <w:rPr>
      <w:rFonts w:ascii="Overpass" w:eastAsia="Noto Sans SC Bold" w:hAnsi="Overpass" w:cs="Noto Sans"/>
      <w:b/>
      <w:color w:val="232DBE"/>
      <w:sz w:val="32"/>
      <w:szCs w:val="32"/>
      <w:u w:color="232DBE"/>
      <w:lang w:val="es-ES"/>
    </w:rPr>
  </w:style>
  <w:style w:type="character" w:customStyle="1" w:styleId="GBHeading1Char">
    <w:name w:val="GB Heading 1 Char"/>
    <w:basedOn w:val="DefaultParagraphFont"/>
    <w:link w:val="GBHeading1"/>
    <w:uiPriority w:val="3"/>
    <w:rsid w:val="00371979"/>
    <w:rPr>
      <w:rFonts w:ascii="Overpass" w:eastAsia="Noto Sans SC Bold" w:hAnsi="Overpass" w:cs="Noto Sans"/>
      <w:b/>
      <w:color w:val="232DBE"/>
      <w:sz w:val="32"/>
      <w:szCs w:val="32"/>
      <w:u w:color="232DBE"/>
      <w:lang w:val="es-ES"/>
    </w:rPr>
  </w:style>
  <w:style w:type="paragraph" w:customStyle="1" w:styleId="GBHeading1Indent">
    <w:name w:val="GB Heading 1 Indent"/>
    <w:next w:val="GBPara"/>
    <w:link w:val="GBHeading1IndentChar"/>
    <w:uiPriority w:val="3"/>
    <w:qFormat/>
    <w:rsid w:val="000068E1"/>
    <w:pPr>
      <w:keepNext/>
      <w:numPr>
        <w:numId w:val="4"/>
      </w:numPr>
      <w:pBdr>
        <w:bottom w:val="single" w:sz="4" w:space="1" w:color="232DBE"/>
      </w:pBdr>
      <w:tabs>
        <w:tab w:val="left" w:pos="340"/>
      </w:tabs>
      <w:spacing w:before="480" w:after="360" w:line="240" w:lineRule="auto"/>
      <w:outlineLvl w:val="0"/>
    </w:pPr>
    <w:rPr>
      <w:rFonts w:ascii="Overpass" w:eastAsia="Noto Sans SC Bold" w:hAnsi="Overpass" w:cs="Noto Sans"/>
      <w:b/>
      <w:color w:val="232DBE"/>
      <w:sz w:val="32"/>
      <w:szCs w:val="32"/>
      <w:u w:color="232DBE"/>
      <w:lang w:val="es-ES"/>
    </w:rPr>
  </w:style>
  <w:style w:type="character" w:customStyle="1" w:styleId="GBHeading1IndentChar">
    <w:name w:val="GB Heading 1 Indent Char"/>
    <w:basedOn w:val="GBHeading1Char"/>
    <w:link w:val="GBHeading1Indent"/>
    <w:uiPriority w:val="3"/>
    <w:rsid w:val="00371979"/>
    <w:rPr>
      <w:rFonts w:ascii="Overpass" w:eastAsia="Noto Sans SC Bold" w:hAnsi="Overpass" w:cs="Noto Sans"/>
      <w:b/>
      <w:color w:val="232DBE"/>
      <w:sz w:val="32"/>
      <w:szCs w:val="32"/>
      <w:u w:color="232DBE"/>
      <w:lang w:val="es-ES"/>
    </w:rPr>
  </w:style>
  <w:style w:type="paragraph" w:customStyle="1" w:styleId="GBHeading2">
    <w:name w:val="GB Heading 2"/>
    <w:next w:val="GBPara"/>
    <w:link w:val="GBHeading2Char"/>
    <w:uiPriority w:val="3"/>
    <w:qFormat/>
    <w:rsid w:val="000068E1"/>
    <w:pPr>
      <w:keepNext/>
      <w:spacing w:before="240" w:after="120" w:line="240" w:lineRule="auto"/>
      <w:outlineLvl w:val="1"/>
    </w:pPr>
    <w:rPr>
      <w:rFonts w:ascii="Overpass" w:eastAsia="Noto Sans SC Bold" w:hAnsi="Overpass" w:cs="Overpass"/>
      <w:b/>
      <w:bCs/>
      <w:color w:val="1E2DBE"/>
      <w:sz w:val="28"/>
      <w:szCs w:val="28"/>
      <w:lang w:val="es-ES"/>
    </w:rPr>
  </w:style>
  <w:style w:type="character" w:customStyle="1" w:styleId="GBHeading2Char">
    <w:name w:val="GB Heading 2 Char"/>
    <w:basedOn w:val="DefaultParagraphFont"/>
    <w:link w:val="GBHeading2"/>
    <w:uiPriority w:val="3"/>
    <w:rsid w:val="00371979"/>
    <w:rPr>
      <w:rFonts w:ascii="Overpass" w:eastAsia="Noto Sans SC Bold" w:hAnsi="Overpass" w:cs="Overpass"/>
      <w:b/>
      <w:bCs/>
      <w:color w:val="1E2DBE"/>
      <w:sz w:val="28"/>
      <w:szCs w:val="28"/>
      <w:lang w:val="es-ES"/>
    </w:rPr>
  </w:style>
  <w:style w:type="paragraph" w:customStyle="1" w:styleId="GBHeading2Indent">
    <w:name w:val="GB Heading 2 Indent"/>
    <w:basedOn w:val="GBHeading2"/>
    <w:next w:val="GBPara"/>
    <w:link w:val="GBHeading2IndentChar"/>
    <w:uiPriority w:val="3"/>
    <w:qFormat/>
    <w:rsid w:val="000068E1"/>
    <w:pPr>
      <w:keepLines/>
      <w:ind w:left="567" w:hanging="567"/>
    </w:pPr>
  </w:style>
  <w:style w:type="character" w:customStyle="1" w:styleId="GBHeading2IndentChar">
    <w:name w:val="GB Heading 2 Indent Char"/>
    <w:basedOn w:val="DefaultParagraphFont"/>
    <w:link w:val="GBHeading2Indent"/>
    <w:uiPriority w:val="3"/>
    <w:rsid w:val="00371979"/>
    <w:rPr>
      <w:rFonts w:ascii="Overpass" w:eastAsia="Noto Sans SC Bold" w:hAnsi="Overpass" w:cs="Overpass"/>
      <w:b/>
      <w:bCs/>
      <w:color w:val="1E2DBE"/>
      <w:sz w:val="28"/>
      <w:szCs w:val="28"/>
      <w:lang w:val="es-ES"/>
    </w:rPr>
  </w:style>
  <w:style w:type="paragraph" w:customStyle="1" w:styleId="GBHeading3">
    <w:name w:val="GB Heading 3"/>
    <w:next w:val="GBPara"/>
    <w:link w:val="GBHeading3Char"/>
    <w:uiPriority w:val="3"/>
    <w:qFormat/>
    <w:rsid w:val="000068E1"/>
    <w:pPr>
      <w:keepNext/>
      <w:spacing w:before="240" w:after="120" w:line="240" w:lineRule="auto"/>
      <w:outlineLvl w:val="2"/>
    </w:pPr>
    <w:rPr>
      <w:rFonts w:ascii="Overpass" w:eastAsia="Noto Sans SC Bold" w:hAnsi="Overpass" w:cs="Overpass"/>
      <w:b/>
      <w:bCs/>
      <w:color w:val="1E2DBE"/>
      <w:sz w:val="24"/>
      <w:szCs w:val="24"/>
      <w:lang w:val="es-ES"/>
    </w:rPr>
  </w:style>
  <w:style w:type="character" w:customStyle="1" w:styleId="GBHeading3Char">
    <w:name w:val="GB Heading 3 Char"/>
    <w:basedOn w:val="DefaultParagraphFont"/>
    <w:link w:val="GBHeading3"/>
    <w:uiPriority w:val="3"/>
    <w:rsid w:val="00371979"/>
    <w:rPr>
      <w:rFonts w:ascii="Overpass" w:eastAsia="Noto Sans SC Bold" w:hAnsi="Overpass" w:cs="Overpass"/>
      <w:b/>
      <w:bCs/>
      <w:color w:val="1E2DBE"/>
      <w:sz w:val="24"/>
      <w:szCs w:val="24"/>
      <w:lang w:val="es-ES"/>
    </w:rPr>
  </w:style>
  <w:style w:type="paragraph" w:customStyle="1" w:styleId="GBHeading3Indent">
    <w:name w:val="GB Heading 3 Indent"/>
    <w:basedOn w:val="GBHeading3"/>
    <w:next w:val="GBPara"/>
    <w:link w:val="GBHeading3IndentChar"/>
    <w:uiPriority w:val="3"/>
    <w:qFormat/>
    <w:rsid w:val="000068E1"/>
    <w:pPr>
      <w:ind w:left="567" w:hanging="567"/>
    </w:pPr>
  </w:style>
  <w:style w:type="character" w:customStyle="1" w:styleId="GBHeading3IndentChar">
    <w:name w:val="GB Heading 3 Indent Char"/>
    <w:basedOn w:val="GBHeading3Char"/>
    <w:link w:val="GBHeading3Indent"/>
    <w:uiPriority w:val="3"/>
    <w:rsid w:val="00371979"/>
    <w:rPr>
      <w:rFonts w:ascii="Overpass" w:eastAsia="Noto Sans SC Bold" w:hAnsi="Overpass" w:cs="Overpass"/>
      <w:b/>
      <w:bCs/>
      <w:color w:val="1E2DBE"/>
      <w:sz w:val="24"/>
      <w:szCs w:val="24"/>
      <w:lang w:val="es-ES"/>
    </w:rPr>
  </w:style>
  <w:style w:type="paragraph" w:customStyle="1" w:styleId="GBHeading4">
    <w:name w:val="GB Heading 4"/>
    <w:next w:val="GBPara"/>
    <w:link w:val="GBHeading4Char"/>
    <w:uiPriority w:val="3"/>
    <w:qFormat/>
    <w:rsid w:val="000068E1"/>
    <w:pPr>
      <w:keepNext/>
      <w:spacing w:before="240" w:after="120" w:line="240" w:lineRule="auto"/>
      <w:outlineLvl w:val="3"/>
    </w:pPr>
    <w:rPr>
      <w:rFonts w:ascii="Overpass" w:eastAsia="Noto Sans SC Regular" w:hAnsi="Overpass" w:cs="Overpass"/>
      <w:b/>
      <w:bCs/>
      <w:color w:val="230050"/>
      <w:lang w:val="es-ES"/>
    </w:rPr>
  </w:style>
  <w:style w:type="character" w:customStyle="1" w:styleId="GBHeading4Char">
    <w:name w:val="GB Heading 4 Char"/>
    <w:basedOn w:val="DefaultParagraphFont"/>
    <w:link w:val="GBHeading4"/>
    <w:uiPriority w:val="3"/>
    <w:rsid w:val="00371979"/>
    <w:rPr>
      <w:rFonts w:ascii="Overpass" w:eastAsia="Noto Sans SC Regular" w:hAnsi="Overpass" w:cs="Overpass"/>
      <w:b/>
      <w:bCs/>
      <w:color w:val="230050"/>
      <w:lang w:val="es-ES"/>
    </w:rPr>
  </w:style>
  <w:style w:type="paragraph" w:customStyle="1" w:styleId="GBHeading4Indent">
    <w:name w:val="GB Heading 4 Indent"/>
    <w:basedOn w:val="GBHeading4"/>
    <w:next w:val="GBPara"/>
    <w:link w:val="GBHeading4IndentChar"/>
    <w:uiPriority w:val="3"/>
    <w:qFormat/>
    <w:rsid w:val="000068E1"/>
    <w:pPr>
      <w:ind w:left="567" w:hanging="567"/>
    </w:pPr>
  </w:style>
  <w:style w:type="character" w:customStyle="1" w:styleId="GBHeading4IndentChar">
    <w:name w:val="GB Heading 4 Indent Char"/>
    <w:basedOn w:val="DefaultParagraphFont"/>
    <w:link w:val="GBHeading4Indent"/>
    <w:uiPriority w:val="3"/>
    <w:rsid w:val="00371979"/>
    <w:rPr>
      <w:rFonts w:ascii="Overpass" w:eastAsia="Noto Sans SC Regular" w:hAnsi="Overpass" w:cs="Overpass"/>
      <w:b/>
      <w:bCs/>
      <w:color w:val="230050"/>
      <w:lang w:val="es-ES"/>
    </w:rPr>
  </w:style>
  <w:style w:type="paragraph" w:customStyle="1" w:styleId="GBHeading5">
    <w:name w:val="GB Heading 5"/>
    <w:next w:val="GBPara"/>
    <w:link w:val="GBHeading5Char"/>
    <w:uiPriority w:val="3"/>
    <w:qFormat/>
    <w:rsid w:val="000068E1"/>
    <w:pPr>
      <w:keepNext/>
      <w:spacing w:before="240" w:after="120" w:line="240" w:lineRule="auto"/>
      <w:outlineLvl w:val="4"/>
    </w:pPr>
    <w:rPr>
      <w:rFonts w:ascii="Overpass" w:eastAsia="Noto Sans SC Regular" w:hAnsi="Overpass" w:cs="Overpass"/>
      <w:color w:val="230050"/>
      <w:lang w:val="es-ES"/>
    </w:rPr>
  </w:style>
  <w:style w:type="character" w:customStyle="1" w:styleId="GBHeading5Char">
    <w:name w:val="GB Heading 5 Char"/>
    <w:basedOn w:val="DefaultParagraphFont"/>
    <w:link w:val="GBHeading5"/>
    <w:uiPriority w:val="3"/>
    <w:rsid w:val="00371979"/>
    <w:rPr>
      <w:rFonts w:ascii="Overpass" w:eastAsia="Noto Sans SC Regular" w:hAnsi="Overpass" w:cs="Overpass"/>
      <w:color w:val="230050"/>
      <w:lang w:val="es-ES"/>
    </w:rPr>
  </w:style>
  <w:style w:type="paragraph" w:customStyle="1" w:styleId="GBHeading5Indent">
    <w:name w:val="GB Heading 5 Indent"/>
    <w:basedOn w:val="GBHeading5"/>
    <w:next w:val="GBPara"/>
    <w:link w:val="GBHeading5IndentChar"/>
    <w:uiPriority w:val="3"/>
    <w:qFormat/>
    <w:rsid w:val="000068E1"/>
    <w:pPr>
      <w:ind w:left="567" w:hanging="567"/>
    </w:pPr>
  </w:style>
  <w:style w:type="character" w:customStyle="1" w:styleId="GBHeading5IndentChar">
    <w:name w:val="GB Heading 5 Indent Char"/>
    <w:basedOn w:val="DefaultParagraphFont"/>
    <w:link w:val="GBHeading5Indent"/>
    <w:uiPriority w:val="3"/>
    <w:rsid w:val="00371979"/>
    <w:rPr>
      <w:rFonts w:ascii="Overpass" w:eastAsia="Noto Sans SC Regular" w:hAnsi="Overpass" w:cs="Overpass"/>
      <w:color w:val="230050"/>
      <w:lang w:val="es-ES"/>
    </w:rPr>
  </w:style>
  <w:style w:type="character" w:customStyle="1" w:styleId="GBHyperlink">
    <w:name w:val="GB Hyperlink"/>
    <w:uiPriority w:val="4"/>
    <w:qFormat/>
    <w:rsid w:val="000068E1"/>
    <w:rPr>
      <w:rFonts w:ascii="Noto Sans" w:eastAsia="Noto Sans SC Regular" w:hAnsi="Noto Sans" w:cs="Noto Sans"/>
      <w:color w:val="1E2DBE"/>
      <w:lang w:val="es-ES"/>
    </w:rPr>
  </w:style>
  <w:style w:type="paragraph" w:customStyle="1" w:styleId="GBPara">
    <w:name w:val="GB Para"/>
    <w:basedOn w:val="GBNormal"/>
    <w:link w:val="GBParaChar"/>
    <w:uiPriority w:val="5"/>
    <w:qFormat/>
    <w:rsid w:val="003C09A0"/>
    <w:pPr>
      <w:spacing w:before="120" w:after="120"/>
      <w:ind w:left="851"/>
      <w:jc w:val="both"/>
    </w:pPr>
  </w:style>
  <w:style w:type="character" w:customStyle="1" w:styleId="GBParaChar">
    <w:name w:val="GB Para Char"/>
    <w:basedOn w:val="DefaultParagraphFont"/>
    <w:link w:val="GBPara"/>
    <w:uiPriority w:val="5"/>
    <w:rsid w:val="00371979"/>
    <w:rPr>
      <w:rFonts w:ascii="Noto Sans" w:eastAsia="Noto Sans SC Regular" w:hAnsi="Noto Sans" w:cs="Noto Sans"/>
      <w:sz w:val="20"/>
      <w:szCs w:val="20"/>
      <w:lang w:val="es-ES"/>
    </w:rPr>
  </w:style>
  <w:style w:type="paragraph" w:customStyle="1" w:styleId="GBIndent1">
    <w:name w:val="GB Indent 1"/>
    <w:basedOn w:val="GBPara"/>
    <w:link w:val="GBIndent1Char"/>
    <w:uiPriority w:val="6"/>
    <w:qFormat/>
    <w:rsid w:val="000F64B4"/>
    <w:pPr>
      <w:ind w:left="1305" w:hanging="454"/>
    </w:pPr>
  </w:style>
  <w:style w:type="character" w:customStyle="1" w:styleId="GBIndent1Char">
    <w:name w:val="GB Indent 1 Char"/>
    <w:basedOn w:val="DefaultParagraphFont"/>
    <w:link w:val="GBIndent1"/>
    <w:uiPriority w:val="6"/>
    <w:rsid w:val="00371979"/>
    <w:rPr>
      <w:rFonts w:ascii="Noto Sans" w:eastAsia="Noto Sans SC Regular" w:hAnsi="Noto Sans" w:cs="Noto Sans"/>
      <w:sz w:val="20"/>
      <w:szCs w:val="20"/>
      <w:lang w:val="es-ES"/>
    </w:rPr>
  </w:style>
  <w:style w:type="paragraph" w:customStyle="1" w:styleId="GBIndent2">
    <w:name w:val="GB Indent 2"/>
    <w:basedOn w:val="GBIndent1"/>
    <w:link w:val="GBIndent2Char"/>
    <w:uiPriority w:val="6"/>
    <w:qFormat/>
    <w:rsid w:val="000F64B4"/>
    <w:pPr>
      <w:ind w:left="1814" w:hanging="510"/>
    </w:pPr>
  </w:style>
  <w:style w:type="character" w:customStyle="1" w:styleId="GBIndent2Char">
    <w:name w:val="GB Indent 2 Char"/>
    <w:basedOn w:val="DefaultParagraphFont"/>
    <w:link w:val="GBIndent2"/>
    <w:uiPriority w:val="6"/>
    <w:rsid w:val="00371979"/>
    <w:rPr>
      <w:rFonts w:ascii="Noto Sans" w:eastAsia="Noto Sans SC Regular" w:hAnsi="Noto Sans" w:cs="Noto Sans"/>
      <w:sz w:val="20"/>
      <w:szCs w:val="20"/>
      <w:lang w:val="es-ES"/>
    </w:rPr>
  </w:style>
  <w:style w:type="paragraph" w:customStyle="1" w:styleId="GBIndentbluebulletlist1">
    <w:name w:val="GB Indent blue bullet list 1"/>
    <w:basedOn w:val="GBPara"/>
    <w:link w:val="GBIndentbluebulletlist1Char"/>
    <w:uiPriority w:val="7"/>
    <w:qFormat/>
    <w:rsid w:val="00E665E0"/>
    <w:pPr>
      <w:numPr>
        <w:numId w:val="5"/>
      </w:numPr>
    </w:pPr>
  </w:style>
  <w:style w:type="character" w:customStyle="1" w:styleId="GBIndentbluebulletlist1Char">
    <w:name w:val="GB Indent blue bullet list 1 Char"/>
    <w:basedOn w:val="DefaultParagraphFont"/>
    <w:link w:val="GBIndentbluebulletlist1"/>
    <w:uiPriority w:val="7"/>
    <w:rsid w:val="00E665E0"/>
    <w:rPr>
      <w:rFonts w:ascii="Noto Sans" w:eastAsia="Noto Sans SC Regular" w:hAnsi="Noto Sans" w:cs="Noto Sans"/>
      <w:sz w:val="20"/>
      <w:szCs w:val="20"/>
      <w:lang w:val="es-ES"/>
    </w:rPr>
  </w:style>
  <w:style w:type="paragraph" w:customStyle="1" w:styleId="GBIndentblackbulletlist1Appendix">
    <w:name w:val="GB Indent black bullet list 1 (Appendix)"/>
    <w:basedOn w:val="GBPara"/>
    <w:uiPriority w:val="8"/>
    <w:qFormat/>
    <w:rsid w:val="000F64B4"/>
    <w:pPr>
      <w:numPr>
        <w:numId w:val="23"/>
      </w:numPr>
    </w:pPr>
  </w:style>
  <w:style w:type="paragraph" w:customStyle="1" w:styleId="GBIndentbluebulletlist2">
    <w:name w:val="GB Indent blue bullet list 2"/>
    <w:basedOn w:val="GBIndentbluebulletlist1"/>
    <w:link w:val="GBIndentbluebulletlist2Char"/>
    <w:uiPriority w:val="7"/>
    <w:qFormat/>
    <w:rsid w:val="0024638F"/>
    <w:pPr>
      <w:numPr>
        <w:ilvl w:val="1"/>
        <w:numId w:val="10"/>
      </w:numPr>
    </w:pPr>
  </w:style>
  <w:style w:type="character" w:customStyle="1" w:styleId="GBIndentbluebulletlist2Char">
    <w:name w:val="GB Indent blue bullet list 2 Char"/>
    <w:basedOn w:val="DefaultParagraphFont"/>
    <w:link w:val="GBIndentbluebulletlist2"/>
    <w:uiPriority w:val="7"/>
    <w:rsid w:val="0024638F"/>
    <w:rPr>
      <w:rFonts w:ascii="Noto Sans" w:eastAsia="Noto Sans SC Regular" w:hAnsi="Noto Sans" w:cs="Noto Sans"/>
      <w:sz w:val="20"/>
      <w:szCs w:val="20"/>
      <w:lang w:val="es-ES"/>
    </w:rPr>
  </w:style>
  <w:style w:type="paragraph" w:customStyle="1" w:styleId="GBIndentblackbulletlist2Appendix">
    <w:name w:val="GB Indent black bullet list 2 (Appendix)"/>
    <w:basedOn w:val="GBIndentblackbulletlist1Appendix"/>
    <w:link w:val="GBIndentblackbulletlist2AppendixChar"/>
    <w:uiPriority w:val="8"/>
    <w:qFormat/>
    <w:rsid w:val="000F64B4"/>
    <w:pPr>
      <w:numPr>
        <w:ilvl w:val="1"/>
      </w:numPr>
    </w:pPr>
  </w:style>
  <w:style w:type="character" w:customStyle="1" w:styleId="GBIndentblackbulletlist2AppendixChar">
    <w:name w:val="GB Indent black bullet list 2 (Appendix) Char"/>
    <w:basedOn w:val="DefaultParagraphFont"/>
    <w:link w:val="GBIndentblackbulletlist2Appendix"/>
    <w:uiPriority w:val="8"/>
    <w:rsid w:val="000F64B4"/>
    <w:rPr>
      <w:rFonts w:ascii="Noto Sans" w:eastAsia="Noto Sans SC Regular" w:hAnsi="Noto Sans" w:cs="Noto Sans"/>
      <w:sz w:val="20"/>
      <w:szCs w:val="20"/>
      <w:lang w:val="es-ES"/>
    </w:rPr>
  </w:style>
  <w:style w:type="paragraph" w:customStyle="1" w:styleId="GBIndentletterlist1S">
    <w:name w:val="GB Indent letter list 1 S"/>
    <w:basedOn w:val="GBPara"/>
    <w:uiPriority w:val="6"/>
    <w:qFormat/>
    <w:rsid w:val="000F64B4"/>
    <w:pPr>
      <w:numPr>
        <w:ilvl w:val="1"/>
        <w:numId w:val="18"/>
      </w:numPr>
    </w:pPr>
  </w:style>
  <w:style w:type="paragraph" w:customStyle="1" w:styleId="GBIndentletterlist2S">
    <w:name w:val="GB Indent letter list 2 S"/>
    <w:basedOn w:val="GBIndentletterlist1S"/>
    <w:uiPriority w:val="6"/>
    <w:qFormat/>
    <w:rsid w:val="000F64B4"/>
    <w:pPr>
      <w:numPr>
        <w:ilvl w:val="2"/>
      </w:numPr>
    </w:pPr>
  </w:style>
  <w:style w:type="paragraph" w:customStyle="1" w:styleId="GBInstrumentArticle">
    <w:name w:val="GB Instrument Article"/>
    <w:uiPriority w:val="8"/>
    <w:qFormat/>
    <w:rsid w:val="000F64B4"/>
    <w:pPr>
      <w:keepNext/>
      <w:keepLines/>
      <w:spacing w:before="120" w:after="120" w:line="240" w:lineRule="auto"/>
      <w:ind w:left="1701"/>
      <w:jc w:val="center"/>
    </w:pPr>
    <w:rPr>
      <w:rFonts w:ascii="Overpass" w:eastAsia="Noto Sans SC Regular" w:hAnsi="Overpass" w:cs="Overpass"/>
      <w:i/>
      <w:iCs/>
      <w:color w:val="000000"/>
      <w:sz w:val="20"/>
      <w:szCs w:val="20"/>
      <w:lang w:val="es-ES"/>
    </w:rPr>
  </w:style>
  <w:style w:type="paragraph" w:customStyle="1" w:styleId="GBInstrumentPara">
    <w:name w:val="GB Instrument Para"/>
    <w:basedOn w:val="GBPara"/>
    <w:uiPriority w:val="8"/>
    <w:qFormat/>
    <w:rsid w:val="000F64B4"/>
    <w:pPr>
      <w:tabs>
        <w:tab w:val="left" w:pos="2552"/>
      </w:tabs>
      <w:spacing w:before="80" w:after="80" w:line="240" w:lineRule="exact"/>
      <w:ind w:left="1701" w:firstLine="454"/>
    </w:pPr>
    <w:rPr>
      <w:sz w:val="18"/>
      <w:szCs w:val="18"/>
    </w:rPr>
  </w:style>
  <w:style w:type="paragraph" w:customStyle="1" w:styleId="GBPageNumber">
    <w:name w:val="GB Page Number"/>
    <w:basedOn w:val="GBNormal"/>
    <w:rsid w:val="001E4FBB"/>
    <w:pPr>
      <w:spacing w:before="40" w:after="40"/>
      <w:jc w:val="right"/>
    </w:pPr>
    <w:rPr>
      <w:color w:val="1E2DBE"/>
      <w:sz w:val="22"/>
      <w:szCs w:val="22"/>
    </w:rPr>
  </w:style>
  <w:style w:type="paragraph" w:customStyle="1" w:styleId="GBParaIndentFirstline">
    <w:name w:val="GB Para Indent First line"/>
    <w:basedOn w:val="GBPara"/>
    <w:uiPriority w:val="5"/>
    <w:qFormat/>
    <w:rsid w:val="00745A59"/>
    <w:pPr>
      <w:ind w:firstLine="454"/>
    </w:pPr>
  </w:style>
  <w:style w:type="paragraph" w:customStyle="1" w:styleId="GBParaNumnotboldAppendix">
    <w:name w:val="GB ParaNum not bold (Appendix)"/>
    <w:uiPriority w:val="5"/>
    <w:qFormat/>
    <w:rsid w:val="00E665E0"/>
    <w:pPr>
      <w:numPr>
        <w:numId w:val="19"/>
      </w:numPr>
      <w:spacing w:before="120" w:after="120" w:line="240" w:lineRule="auto"/>
      <w:jc w:val="both"/>
    </w:pPr>
    <w:rPr>
      <w:rFonts w:ascii="Noto Sans" w:eastAsia="Noto Sans SC Regular" w:hAnsi="Noto Sans" w:cs="Noto Sans"/>
      <w:color w:val="000000" w:themeColor="text1"/>
      <w:sz w:val="20"/>
      <w:szCs w:val="20"/>
      <w:lang w:val="es-ES"/>
    </w:rPr>
  </w:style>
  <w:style w:type="paragraph" w:customStyle="1" w:styleId="GBPurposeoftheDocument">
    <w:name w:val="GB Purpose of the Document"/>
    <w:link w:val="GBPurposeoftheDocumentChar"/>
    <w:uiPriority w:val="2"/>
    <w:rsid w:val="000B4A8B"/>
    <w:pPr>
      <w:spacing w:after="20" w:line="240" w:lineRule="auto"/>
    </w:pPr>
    <w:rPr>
      <w:rFonts w:ascii="Overpass" w:eastAsia="Noto Sans SC Regular" w:hAnsi="Overpass" w:cs="Overpass"/>
      <w:b/>
      <w:bCs/>
      <w:color w:val="FFFFFF" w:themeColor="background1"/>
      <w:lang w:val="es-ES"/>
    </w:rPr>
  </w:style>
  <w:style w:type="character" w:customStyle="1" w:styleId="GBPurposeoftheDocumentChar">
    <w:name w:val="GB Purpose of the Document Char"/>
    <w:basedOn w:val="DefaultParagraphFont"/>
    <w:link w:val="GBPurposeoftheDocument"/>
    <w:uiPriority w:val="2"/>
    <w:rsid w:val="00371979"/>
    <w:rPr>
      <w:rFonts w:ascii="Overpass" w:eastAsia="Noto Sans SC Regular" w:hAnsi="Overpass" w:cs="Overpass"/>
      <w:b/>
      <w:bCs/>
      <w:color w:val="FFFFFF" w:themeColor="background1"/>
      <w:lang w:val="es-ES"/>
    </w:rPr>
  </w:style>
  <w:style w:type="paragraph" w:customStyle="1" w:styleId="GBPurposeoftheDocumentrow">
    <w:name w:val="GB Purpose of the Document_row"/>
    <w:basedOn w:val="GBNormal"/>
    <w:uiPriority w:val="2"/>
    <w:rsid w:val="000068E1"/>
    <w:pPr>
      <w:adjustRightInd w:val="0"/>
      <w:snapToGrid w:val="0"/>
    </w:pPr>
  </w:style>
  <w:style w:type="paragraph" w:customStyle="1" w:styleId="GBPurposeTextjustified">
    <w:name w:val="GB Purpose Text justified"/>
    <w:basedOn w:val="GBNormal"/>
    <w:link w:val="GBPurposeTextjustifiedChar"/>
    <w:uiPriority w:val="2"/>
    <w:rsid w:val="000068E1"/>
    <w:pPr>
      <w:spacing w:before="60" w:after="60"/>
      <w:jc w:val="both"/>
    </w:pPr>
    <w:rPr>
      <w:sz w:val="18"/>
      <w:szCs w:val="18"/>
    </w:rPr>
  </w:style>
  <w:style w:type="character" w:customStyle="1" w:styleId="GBPurposeTextjustifiedChar">
    <w:name w:val="GB Purpose Text justified Char"/>
    <w:basedOn w:val="DefaultParagraphFont"/>
    <w:link w:val="GBPurposeTextjustified"/>
    <w:uiPriority w:val="2"/>
    <w:rsid w:val="00371979"/>
    <w:rPr>
      <w:rFonts w:ascii="Noto Sans" w:eastAsia="Noto Sans SC Regular" w:hAnsi="Noto Sans" w:cs="Noto Sans"/>
      <w:sz w:val="18"/>
      <w:szCs w:val="18"/>
      <w:lang w:val="es-ES"/>
    </w:rPr>
  </w:style>
  <w:style w:type="paragraph" w:customStyle="1" w:styleId="GBPurposeTextleftaligned">
    <w:name w:val="GB Purpose Text left aligned"/>
    <w:basedOn w:val="GBPurposeTextjustified"/>
    <w:uiPriority w:val="2"/>
    <w:qFormat/>
    <w:rsid w:val="000068E1"/>
    <w:pPr>
      <w:jc w:val="left"/>
    </w:pPr>
  </w:style>
  <w:style w:type="paragraph" w:customStyle="1" w:styleId="TableHeaderLeft">
    <w:name w:val="Table Header Left"/>
    <w:link w:val="TableHeaderLeftChar"/>
    <w:uiPriority w:val="15"/>
    <w:qFormat/>
    <w:rsid w:val="00E665E0"/>
    <w:pPr>
      <w:shd w:val="clear" w:color="auto" w:fill="1E2DBE"/>
      <w:spacing w:before="20" w:after="20" w:line="240" w:lineRule="auto"/>
    </w:pPr>
    <w:rPr>
      <w:rFonts w:ascii="Noto Sans" w:eastAsia="Noto Sans SC Regular" w:hAnsi="Noto Sans" w:cs="Noto Sans"/>
      <w:b/>
      <w:bCs/>
      <w:color w:val="FFFFFF" w:themeColor="background1"/>
      <w:sz w:val="18"/>
      <w:szCs w:val="18"/>
      <w:lang w:val="es-ES" w:eastAsia="en-GB"/>
    </w:rPr>
  </w:style>
  <w:style w:type="character" w:customStyle="1" w:styleId="TableHeaderLeftChar">
    <w:name w:val="Table Header Left Char"/>
    <w:basedOn w:val="DefaultParagraphFont"/>
    <w:link w:val="TableHeaderLeft"/>
    <w:uiPriority w:val="15"/>
    <w:rsid w:val="00E665E0"/>
    <w:rPr>
      <w:rFonts w:ascii="Noto Sans" w:eastAsia="Noto Sans SC Regular" w:hAnsi="Noto Sans" w:cs="Noto Sans"/>
      <w:b/>
      <w:bCs/>
      <w:color w:val="FFFFFF" w:themeColor="background1"/>
      <w:sz w:val="18"/>
      <w:szCs w:val="18"/>
      <w:shd w:val="clear" w:color="auto" w:fill="1E2DBE"/>
      <w:lang w:val="es-ES" w:eastAsia="en-GB"/>
    </w:rPr>
  </w:style>
  <w:style w:type="paragraph" w:customStyle="1" w:styleId="TableHeaderRight">
    <w:name w:val="Table Header Right"/>
    <w:link w:val="TableHeaderRightChar"/>
    <w:uiPriority w:val="15"/>
    <w:qFormat/>
    <w:rsid w:val="00E665E0"/>
    <w:pPr>
      <w:shd w:val="clear" w:color="auto" w:fill="1E2DBE"/>
      <w:spacing w:before="20" w:after="20" w:line="240" w:lineRule="auto"/>
      <w:jc w:val="right"/>
    </w:pPr>
    <w:rPr>
      <w:rFonts w:ascii="Noto Sans" w:eastAsia="Noto Sans SC Regular" w:hAnsi="Noto Sans" w:cs="Noto Sans"/>
      <w:b/>
      <w:bCs/>
      <w:color w:val="FFFFFF" w:themeColor="background1"/>
      <w:sz w:val="18"/>
      <w:szCs w:val="18"/>
      <w:lang w:val="es-ES" w:eastAsia="en-GB"/>
    </w:rPr>
  </w:style>
  <w:style w:type="character" w:customStyle="1" w:styleId="TableHeaderRightChar">
    <w:name w:val="Table Header Right Char"/>
    <w:basedOn w:val="DefaultParagraphFont"/>
    <w:link w:val="TableHeaderRight"/>
    <w:uiPriority w:val="15"/>
    <w:rsid w:val="00E665E0"/>
    <w:rPr>
      <w:rFonts w:ascii="Noto Sans" w:eastAsia="Noto Sans SC Regular" w:hAnsi="Noto Sans" w:cs="Noto Sans"/>
      <w:b/>
      <w:bCs/>
      <w:color w:val="FFFFFF" w:themeColor="background1"/>
      <w:sz w:val="18"/>
      <w:szCs w:val="18"/>
      <w:shd w:val="clear" w:color="auto" w:fill="1E2DBE"/>
      <w:lang w:val="es-ES" w:eastAsia="en-GB"/>
    </w:rPr>
  </w:style>
  <w:style w:type="paragraph" w:customStyle="1" w:styleId="TableTextLeft">
    <w:name w:val="Table Text Left"/>
    <w:link w:val="TableTextLeftChar"/>
    <w:uiPriority w:val="15"/>
    <w:qFormat/>
    <w:rsid w:val="00E665E0"/>
    <w:pPr>
      <w:spacing w:before="20" w:after="20" w:line="240" w:lineRule="auto"/>
    </w:pPr>
    <w:rPr>
      <w:rFonts w:ascii="Noto Sans" w:eastAsia="Noto Sans SC Regular" w:hAnsi="Noto Sans" w:cs="Noto Sans"/>
      <w:sz w:val="18"/>
      <w:szCs w:val="18"/>
      <w:lang w:val="es-ES"/>
    </w:rPr>
  </w:style>
  <w:style w:type="character" w:customStyle="1" w:styleId="TableTextLeftChar">
    <w:name w:val="Table Text Left Char"/>
    <w:basedOn w:val="DefaultParagraphFont"/>
    <w:link w:val="TableTextLeft"/>
    <w:uiPriority w:val="15"/>
    <w:rsid w:val="00E665E0"/>
    <w:rPr>
      <w:rFonts w:ascii="Noto Sans" w:eastAsia="Noto Sans SC Regular" w:hAnsi="Noto Sans" w:cs="Noto Sans"/>
      <w:sz w:val="18"/>
      <w:szCs w:val="18"/>
      <w:lang w:val="es-ES"/>
    </w:rPr>
  </w:style>
  <w:style w:type="paragraph" w:customStyle="1" w:styleId="TableTextRight">
    <w:name w:val="Table Text Right"/>
    <w:link w:val="TableTextRightChar"/>
    <w:uiPriority w:val="15"/>
    <w:qFormat/>
    <w:rsid w:val="00E665E0"/>
    <w:pPr>
      <w:spacing w:before="20" w:after="20" w:line="240" w:lineRule="auto"/>
      <w:jc w:val="right"/>
    </w:pPr>
    <w:rPr>
      <w:rFonts w:ascii="Noto Sans" w:eastAsia="Noto Sans SC Regular" w:hAnsi="Noto Sans" w:cs="Noto Sans"/>
      <w:sz w:val="18"/>
      <w:szCs w:val="18"/>
      <w:lang w:val="es-ES"/>
    </w:rPr>
  </w:style>
  <w:style w:type="character" w:customStyle="1" w:styleId="TableTextRightChar">
    <w:name w:val="Table Text Right Char"/>
    <w:basedOn w:val="DefaultParagraphFont"/>
    <w:link w:val="TableTextRight"/>
    <w:uiPriority w:val="15"/>
    <w:rsid w:val="00E665E0"/>
    <w:rPr>
      <w:rFonts w:ascii="Noto Sans" w:eastAsia="Noto Sans SC Regular" w:hAnsi="Noto Sans" w:cs="Noto Sans"/>
      <w:sz w:val="18"/>
      <w:szCs w:val="18"/>
      <w:lang w:val="es-ES"/>
    </w:rPr>
  </w:style>
  <w:style w:type="paragraph" w:customStyle="1" w:styleId="TableBoxNoteSource">
    <w:name w:val="TableBox NoteSource"/>
    <w:uiPriority w:val="14"/>
    <w:qFormat/>
    <w:rsid w:val="0076255D"/>
    <w:pPr>
      <w:spacing w:before="120" w:after="20" w:line="240" w:lineRule="auto"/>
      <w:jc w:val="both"/>
    </w:pPr>
    <w:rPr>
      <w:rFonts w:ascii="Noto Sans" w:eastAsia="Noto Sans SC Regular" w:hAnsi="Noto Sans" w:cs="Noto Sans"/>
      <w:sz w:val="15"/>
      <w:szCs w:val="15"/>
      <w:lang w:val="es-ES"/>
    </w:rPr>
  </w:style>
  <w:style w:type="paragraph" w:customStyle="1" w:styleId="TableBoxrowempty">
    <w:name w:val="TableBox row empty"/>
    <w:uiPriority w:val="14"/>
    <w:rsid w:val="0076255D"/>
    <w:pPr>
      <w:spacing w:after="0" w:line="240" w:lineRule="auto"/>
      <w:jc w:val="both"/>
    </w:pPr>
    <w:rPr>
      <w:rFonts w:ascii="Noto Sans" w:eastAsia="Noto Sans SC Regular" w:hAnsi="Noto Sans" w:cs="Noto Sans"/>
      <w:sz w:val="2"/>
      <w:szCs w:val="2"/>
      <w:lang w:val="es-ES"/>
    </w:rPr>
  </w:style>
  <w:style w:type="paragraph" w:styleId="TOC1">
    <w:name w:val="toc 1"/>
    <w:autoRedefine/>
    <w:uiPriority w:val="18"/>
    <w:unhideWhenUsed/>
    <w:rsid w:val="00BB3EED"/>
    <w:pPr>
      <w:tabs>
        <w:tab w:val="left" w:pos="680"/>
        <w:tab w:val="right" w:leader="dot" w:pos="8959"/>
        <w:tab w:val="right" w:pos="9639"/>
      </w:tabs>
      <w:spacing w:before="120" w:after="120" w:line="240" w:lineRule="auto"/>
      <w:ind w:left="340"/>
    </w:pPr>
    <w:rPr>
      <w:rFonts w:ascii="Noto Sans" w:eastAsia="Noto Sans SC Regular" w:hAnsi="Noto Sans" w:cs="Noto Sans"/>
      <w:sz w:val="20"/>
      <w:szCs w:val="20"/>
      <w:lang w:val="es-ES"/>
    </w:rPr>
  </w:style>
  <w:style w:type="paragraph" w:styleId="TOC2">
    <w:name w:val="toc 2"/>
    <w:autoRedefine/>
    <w:uiPriority w:val="18"/>
    <w:rsid w:val="00BB3EED"/>
    <w:pPr>
      <w:tabs>
        <w:tab w:val="left" w:pos="1134"/>
        <w:tab w:val="left" w:pos="1559"/>
        <w:tab w:val="right" w:leader="dot" w:pos="8959"/>
        <w:tab w:val="right" w:pos="9639"/>
      </w:tabs>
      <w:spacing w:before="120" w:after="120" w:line="240" w:lineRule="auto"/>
      <w:ind w:left="680"/>
    </w:pPr>
    <w:rPr>
      <w:rFonts w:ascii="Noto Sans" w:eastAsia="Noto Sans SC Regular" w:hAnsi="Noto Sans" w:cs="Noto Sans"/>
      <w:sz w:val="20"/>
      <w:szCs w:val="20"/>
      <w:lang w:val="es-ES"/>
    </w:rPr>
  </w:style>
  <w:style w:type="paragraph" w:styleId="TOC3">
    <w:name w:val="toc 3"/>
    <w:autoRedefine/>
    <w:uiPriority w:val="18"/>
    <w:unhideWhenUsed/>
    <w:rsid w:val="00BB3EED"/>
    <w:pPr>
      <w:tabs>
        <w:tab w:val="left" w:pos="1701"/>
        <w:tab w:val="right" w:leader="dot" w:pos="8959"/>
        <w:tab w:val="right" w:pos="9639"/>
      </w:tabs>
      <w:spacing w:before="120" w:after="120" w:line="240" w:lineRule="auto"/>
      <w:ind w:left="1134"/>
    </w:pPr>
    <w:rPr>
      <w:rFonts w:ascii="Noto Sans" w:eastAsia="Noto Sans SC Regular" w:hAnsi="Noto Sans" w:cs="Noto Sans"/>
      <w:sz w:val="20"/>
      <w:szCs w:val="20"/>
      <w:lang w:val="es-ES"/>
    </w:rPr>
  </w:style>
  <w:style w:type="paragraph" w:customStyle="1" w:styleId="TOCpage">
    <w:name w:val="TOC page"/>
    <w:uiPriority w:val="18"/>
    <w:qFormat/>
    <w:rsid w:val="00E665E0"/>
    <w:pPr>
      <w:keepNext/>
      <w:keepLines/>
      <w:spacing w:before="120" w:after="120" w:line="240" w:lineRule="auto"/>
      <w:jc w:val="right"/>
    </w:pPr>
    <w:rPr>
      <w:rFonts w:ascii="Noto Sans" w:eastAsia="Times New Roman" w:hAnsi="Noto Sans" w:cs="Times New Roman"/>
      <w:b/>
      <w:bCs/>
      <w:color w:val="230050"/>
      <w:sz w:val="18"/>
      <w:szCs w:val="18"/>
      <w:lang w:val="es-ES"/>
    </w:rPr>
  </w:style>
  <w:style w:type="numbering" w:customStyle="1" w:styleId="listDocCode">
    <w:name w:val="list Doc Code"/>
    <w:uiPriority w:val="99"/>
    <w:rsid w:val="0024638F"/>
    <w:pPr>
      <w:numPr>
        <w:numId w:val="6"/>
      </w:numPr>
    </w:pPr>
  </w:style>
  <w:style w:type="numbering" w:customStyle="1" w:styleId="GBlist-Header">
    <w:name w:val="GB list - Header"/>
    <w:uiPriority w:val="99"/>
    <w:rsid w:val="0024638F"/>
    <w:pPr>
      <w:numPr>
        <w:numId w:val="7"/>
      </w:numPr>
    </w:pPr>
  </w:style>
  <w:style w:type="numbering" w:customStyle="1" w:styleId="GBlist-ParaNumlettersFS">
    <w:name w:val="GB list - ParaNum &amp; letters F&amp;S"/>
    <w:uiPriority w:val="99"/>
    <w:rsid w:val="00C375C7"/>
    <w:pPr>
      <w:numPr>
        <w:numId w:val="8"/>
      </w:numPr>
    </w:pPr>
  </w:style>
  <w:style w:type="numbering" w:customStyle="1" w:styleId="GBlist-Indentbullets">
    <w:name w:val="GB list - Indent bullets"/>
    <w:uiPriority w:val="99"/>
    <w:rsid w:val="0024638F"/>
    <w:pPr>
      <w:numPr>
        <w:numId w:val="9"/>
      </w:numPr>
    </w:pPr>
  </w:style>
  <w:style w:type="numbering" w:customStyle="1" w:styleId="GBlist-Table-Box-Graphictitle">
    <w:name w:val="GB list - Table-Box-Graphic title"/>
    <w:uiPriority w:val="99"/>
    <w:rsid w:val="0024638F"/>
    <w:pPr>
      <w:numPr>
        <w:numId w:val="11"/>
      </w:numPr>
    </w:pPr>
  </w:style>
  <w:style w:type="numbering" w:customStyle="1" w:styleId="listBoxnumberedlettersFS">
    <w:name w:val="list Box numbered &amp; letters F&amp;S"/>
    <w:uiPriority w:val="99"/>
    <w:rsid w:val="00337A8A"/>
    <w:pPr>
      <w:numPr>
        <w:numId w:val="14"/>
      </w:numPr>
    </w:pPr>
  </w:style>
  <w:style w:type="numbering" w:customStyle="1" w:styleId="GBlist-DecisionsublevelsFS">
    <w:name w:val="GB list - Decision sublevels F&amp;S"/>
    <w:uiPriority w:val="99"/>
    <w:rsid w:val="00696A77"/>
    <w:pPr>
      <w:numPr>
        <w:numId w:val="15"/>
      </w:numPr>
    </w:pPr>
  </w:style>
  <w:style w:type="numbering" w:customStyle="1" w:styleId="GBlist-AppendixParaNum">
    <w:name w:val="GB list - Appendix ParaNum"/>
    <w:uiPriority w:val="99"/>
    <w:rsid w:val="00E0085D"/>
    <w:pPr>
      <w:numPr>
        <w:numId w:val="16"/>
      </w:numPr>
    </w:pPr>
  </w:style>
  <w:style w:type="numbering" w:customStyle="1" w:styleId="GBlist-Appendixbullets">
    <w:name w:val="GB list - Appendix bullets"/>
    <w:uiPriority w:val="99"/>
    <w:rsid w:val="00AD60B1"/>
    <w:pPr>
      <w:numPr>
        <w:numId w:val="17"/>
      </w:numPr>
    </w:pPr>
  </w:style>
  <w:style w:type="numbering" w:customStyle="1" w:styleId="listTablebullets">
    <w:name w:val="list Table bullets"/>
    <w:uiPriority w:val="99"/>
    <w:rsid w:val="00216B86"/>
    <w:pPr>
      <w:numPr>
        <w:numId w:val="26"/>
      </w:numPr>
    </w:pPr>
  </w:style>
  <w:style w:type="paragraph" w:customStyle="1" w:styleId="TableIndentbluebulletlist1">
    <w:name w:val="Table Indent blue bullet list 1"/>
    <w:uiPriority w:val="16"/>
    <w:qFormat/>
    <w:rsid w:val="00216B86"/>
    <w:pPr>
      <w:numPr>
        <w:numId w:val="27"/>
      </w:numPr>
      <w:spacing w:after="0" w:line="240" w:lineRule="auto"/>
    </w:pPr>
    <w:rPr>
      <w:rFonts w:ascii="Noto Sans" w:eastAsia="Noto Sans SC Regular" w:hAnsi="Noto Sans" w:cs="Noto Sans"/>
      <w:color w:val="000000" w:themeColor="text1"/>
      <w:sz w:val="18"/>
      <w:szCs w:val="18"/>
      <w:lang w:val="es-ES_tradnl"/>
    </w:rPr>
  </w:style>
  <w:style w:type="paragraph" w:customStyle="1" w:styleId="TableIndentbluebulletlist2">
    <w:name w:val="Table Indent blue bullet list 2"/>
    <w:basedOn w:val="TableIndentbluebulletlist1"/>
    <w:uiPriority w:val="16"/>
    <w:qFormat/>
    <w:rsid w:val="00216B86"/>
    <w:pPr>
      <w:numPr>
        <w:ilvl w:val="1"/>
      </w:numPr>
    </w:pPr>
  </w:style>
  <w:style w:type="paragraph" w:customStyle="1" w:styleId="TableIndent1">
    <w:name w:val="Table Indent 1"/>
    <w:uiPriority w:val="16"/>
    <w:qFormat/>
    <w:rsid w:val="00216B86"/>
    <w:pPr>
      <w:spacing w:before="20" w:after="20" w:line="240" w:lineRule="auto"/>
      <w:ind w:left="340" w:hanging="340"/>
    </w:pPr>
    <w:rPr>
      <w:rFonts w:ascii="Noto Sans" w:eastAsia="Noto Sans SC Regular" w:hAnsi="Noto Sans" w:cs="Noto Sans"/>
      <w:sz w:val="18"/>
      <w:szCs w:val="18"/>
      <w:lang w:val="es-ES_tradnl"/>
    </w:rPr>
  </w:style>
  <w:style w:type="paragraph" w:customStyle="1" w:styleId="TableIndent2">
    <w:name w:val="Table Indent 2"/>
    <w:basedOn w:val="TableIndent1"/>
    <w:uiPriority w:val="16"/>
    <w:qFormat/>
    <w:rsid w:val="00216B86"/>
    <w:pPr>
      <w:ind w:left="680"/>
    </w:pPr>
  </w:style>
  <w:style w:type="numbering" w:customStyle="1" w:styleId="GBlist-Heading1">
    <w:name w:val="GB list - Heading 1"/>
    <w:uiPriority w:val="99"/>
    <w:rsid w:val="00B2460A"/>
    <w:pPr>
      <w:numPr>
        <w:numId w:val="28"/>
      </w:numPr>
    </w:pPr>
  </w:style>
  <w:style w:type="character" w:styleId="Hyperlink">
    <w:name w:val="Hyperlink"/>
    <w:basedOn w:val="DefaultParagraphFont"/>
    <w:uiPriority w:val="99"/>
    <w:semiHidden/>
    <w:rsid w:val="00B2460A"/>
    <w:rPr>
      <w:color w:val="0563C1" w:themeColor="hyperlink"/>
      <w:u w:val="single"/>
    </w:rPr>
  </w:style>
  <w:style w:type="numbering" w:customStyle="1" w:styleId="listBoxbullets">
    <w:name w:val="list Box bullets"/>
    <w:uiPriority w:val="99"/>
    <w:rsid w:val="00B2460A"/>
    <w:pPr>
      <w:numPr>
        <w:numId w:val="29"/>
      </w:numPr>
    </w:pPr>
  </w:style>
  <w:style w:type="numbering" w:customStyle="1" w:styleId="Tablebullets">
    <w:name w:val="Table bullets"/>
    <w:uiPriority w:val="99"/>
    <w:rsid w:val="00713835"/>
    <w:pPr>
      <w:numPr>
        <w:numId w:val="32"/>
      </w:numPr>
    </w:pPr>
  </w:style>
  <w:style w:type="paragraph" w:customStyle="1" w:styleId="EFSGGBHeading3">
    <w:name w:val="EFSG GB Heading 3"/>
    <w:link w:val="EFSGGBHeading3Char"/>
    <w:uiPriority w:val="3"/>
    <w:qFormat/>
    <w:rsid w:val="00713835"/>
    <w:pPr>
      <w:keepNext/>
      <w:adjustRightInd w:val="0"/>
      <w:snapToGrid w:val="0"/>
      <w:spacing w:before="240" w:after="120" w:line="240" w:lineRule="auto"/>
      <w:outlineLvl w:val="2"/>
    </w:pPr>
    <w:rPr>
      <w:rFonts w:ascii="Overpass" w:eastAsia="Noto Sans SC Bold" w:hAnsi="Overpass" w:cstheme="majorBidi"/>
      <w:b/>
      <w:bCs/>
      <w:color w:val="1E2DBE"/>
      <w:sz w:val="24"/>
      <w:szCs w:val="24"/>
      <w:lang w:val="en-GB"/>
    </w:rPr>
  </w:style>
  <w:style w:type="character" w:customStyle="1" w:styleId="EFSGGBHeading3Char">
    <w:name w:val="EFSG GB Heading 3 Char"/>
    <w:basedOn w:val="DefaultParagraphFont"/>
    <w:link w:val="EFSGGBHeading3"/>
    <w:uiPriority w:val="3"/>
    <w:rsid w:val="00713835"/>
    <w:rPr>
      <w:rFonts w:ascii="Overpass" w:eastAsia="Noto Sans SC Bold" w:hAnsi="Overpass" w:cstheme="majorBidi"/>
      <w:b/>
      <w:bCs/>
      <w:color w:val="1E2DBE"/>
      <w:sz w:val="24"/>
      <w:szCs w:val="24"/>
      <w:lang w:val="en-GB"/>
    </w:rPr>
  </w:style>
  <w:style w:type="paragraph" w:customStyle="1" w:styleId="EFSGGBParaNum">
    <w:name w:val="EFSG GB ParaNum"/>
    <w:link w:val="EFSGGBParaNumChar"/>
    <w:uiPriority w:val="4"/>
    <w:qFormat/>
    <w:rsid w:val="00713835"/>
    <w:pPr>
      <w:adjustRightInd w:val="0"/>
      <w:snapToGrid w:val="0"/>
      <w:spacing w:before="120" w:after="120" w:line="240" w:lineRule="auto"/>
      <w:jc w:val="both"/>
    </w:pPr>
    <w:rPr>
      <w:rFonts w:ascii="Noto Sans" w:eastAsia="Noto Sans SC Regular" w:hAnsi="Noto Sans" w:cs="Noto Sans"/>
      <w:color w:val="000000" w:themeColor="text1"/>
      <w:sz w:val="20"/>
      <w:szCs w:val="20"/>
      <w:lang w:val="en-US"/>
    </w:rPr>
  </w:style>
  <w:style w:type="character" w:customStyle="1" w:styleId="EFSGGBParaNumChar">
    <w:name w:val="EFSG GB ParaNum Char"/>
    <w:basedOn w:val="DefaultParagraphFont"/>
    <w:link w:val="EFSGGBParaNum"/>
    <w:uiPriority w:val="4"/>
    <w:rsid w:val="00713835"/>
    <w:rPr>
      <w:rFonts w:ascii="Noto Sans" w:eastAsia="Noto Sans SC Regular" w:hAnsi="Noto Sans" w:cs="Noto Sans"/>
      <w:color w:val="000000" w:themeColor="text1"/>
      <w:sz w:val="20"/>
      <w:szCs w:val="20"/>
      <w:lang w:val="en-US"/>
    </w:rPr>
  </w:style>
  <w:style w:type="paragraph" w:customStyle="1" w:styleId="EFSGGBParaNumappendix">
    <w:name w:val="EFSG GB ParaNum appendix"/>
    <w:uiPriority w:val="4"/>
    <w:qFormat/>
    <w:rsid w:val="00713835"/>
    <w:pPr>
      <w:numPr>
        <w:numId w:val="33"/>
      </w:numPr>
      <w:adjustRightInd w:val="0"/>
      <w:snapToGrid w:val="0"/>
      <w:spacing w:before="120" w:after="120" w:line="240" w:lineRule="auto"/>
      <w:jc w:val="both"/>
    </w:pPr>
    <w:rPr>
      <w:rFonts w:ascii="Noto Sans" w:eastAsia="Noto Sans SC Regular" w:hAnsi="Noto Sans" w:cs="Noto Sans"/>
      <w:color w:val="000000" w:themeColor="text1"/>
      <w:sz w:val="20"/>
      <w:szCs w:val="20"/>
      <w:lang w:val="en-US"/>
    </w:rPr>
  </w:style>
  <w:style w:type="paragraph" w:customStyle="1" w:styleId="EFSGGBHeading5">
    <w:name w:val="EFSG GB Heading 5"/>
    <w:link w:val="EFSGGBHeading5Char"/>
    <w:uiPriority w:val="3"/>
    <w:qFormat/>
    <w:rsid w:val="00713835"/>
    <w:pPr>
      <w:keepNext/>
      <w:adjustRightInd w:val="0"/>
      <w:snapToGrid w:val="0"/>
      <w:spacing w:before="240" w:after="120" w:line="240" w:lineRule="auto"/>
      <w:outlineLvl w:val="4"/>
    </w:pPr>
    <w:rPr>
      <w:rFonts w:ascii="Overpass" w:eastAsia="Noto Sans SC Regular" w:hAnsi="Overpass" w:cs="Noto Sans"/>
      <w:color w:val="230050"/>
      <w:szCs w:val="20"/>
      <w:lang w:val="en-GB"/>
    </w:rPr>
  </w:style>
  <w:style w:type="character" w:customStyle="1" w:styleId="EFSGGBHeading5Char">
    <w:name w:val="EFSG GB Heading 5 Char"/>
    <w:basedOn w:val="DefaultParagraphFont"/>
    <w:link w:val="EFSGGBHeading5"/>
    <w:uiPriority w:val="3"/>
    <w:rsid w:val="00713835"/>
    <w:rPr>
      <w:rFonts w:ascii="Overpass" w:eastAsia="Noto Sans SC Regular" w:hAnsi="Overpass" w:cs="Noto Sans"/>
      <w:color w:val="230050"/>
      <w:szCs w:val="20"/>
      <w:lang w:val="en-GB"/>
    </w:rPr>
  </w:style>
  <w:style w:type="paragraph" w:customStyle="1" w:styleId="EFSGGBHeading4">
    <w:name w:val="EFSG GB Heading 4"/>
    <w:link w:val="EFSGGBHeading4Char"/>
    <w:uiPriority w:val="3"/>
    <w:qFormat/>
    <w:rsid w:val="00713835"/>
    <w:pPr>
      <w:keepNext/>
      <w:adjustRightInd w:val="0"/>
      <w:snapToGrid w:val="0"/>
      <w:spacing w:before="240" w:after="120" w:line="240" w:lineRule="auto"/>
      <w:outlineLvl w:val="3"/>
    </w:pPr>
    <w:rPr>
      <w:rFonts w:ascii="Overpass" w:eastAsia="Noto Sans SC Regular" w:hAnsi="Overpass" w:cs="Arial"/>
      <w:b/>
      <w:color w:val="230050"/>
      <w:szCs w:val="24"/>
      <w:lang w:val="en-GB"/>
    </w:rPr>
  </w:style>
  <w:style w:type="character" w:customStyle="1" w:styleId="EFSGGBHeading4Char">
    <w:name w:val="EFSG GB Heading 4 Char"/>
    <w:basedOn w:val="DefaultParagraphFont"/>
    <w:link w:val="EFSGGBHeading4"/>
    <w:uiPriority w:val="3"/>
    <w:rsid w:val="00713835"/>
    <w:rPr>
      <w:rFonts w:ascii="Overpass" w:eastAsia="Noto Sans SC Regular" w:hAnsi="Overpass" w:cs="Arial"/>
      <w:b/>
      <w:color w:val="230050"/>
      <w:szCs w:val="24"/>
      <w:lang w:val="en-GB"/>
    </w:rPr>
  </w:style>
  <w:style w:type="paragraph" w:styleId="Revision">
    <w:name w:val="Revision"/>
    <w:hidden/>
    <w:uiPriority w:val="99"/>
    <w:semiHidden/>
    <w:rsid w:val="00B223B4"/>
    <w:pPr>
      <w:spacing w:after="0" w:line="240" w:lineRule="auto"/>
    </w:pPr>
    <w:rPr>
      <w:rFonts w:ascii="Noto Sans" w:hAnsi="Noto Sans" w:cs="Noto Sans"/>
      <w:sz w:val="18"/>
      <w:szCs w:val="18"/>
      <w:lang w:val="en-GB"/>
    </w:rPr>
  </w:style>
  <w:style w:type="character" w:styleId="FollowedHyperlink">
    <w:name w:val="FollowedHyperlink"/>
    <w:basedOn w:val="DefaultParagraphFont"/>
    <w:uiPriority w:val="99"/>
    <w:semiHidden/>
    <w:unhideWhenUsed/>
    <w:rsid w:val="008D5C57"/>
    <w:rPr>
      <w:color w:val="954F72" w:themeColor="followedHyperlink"/>
      <w:u w:val="single"/>
    </w:rPr>
  </w:style>
  <w:style w:type="character" w:styleId="UnresolvedMention">
    <w:name w:val="Unresolved Mention"/>
    <w:basedOn w:val="DefaultParagraphFont"/>
    <w:uiPriority w:val="99"/>
    <w:semiHidden/>
    <w:unhideWhenUsed/>
    <w:rsid w:val="008D5C57"/>
    <w:rPr>
      <w:color w:val="605E5C"/>
      <w:shd w:val="clear" w:color="auto" w:fill="E1DFDD"/>
    </w:rPr>
  </w:style>
  <w:style w:type="character" w:styleId="CommentReference">
    <w:name w:val="annotation reference"/>
    <w:basedOn w:val="DefaultParagraphFont"/>
    <w:uiPriority w:val="99"/>
    <w:semiHidden/>
    <w:unhideWhenUsed/>
    <w:rsid w:val="00140388"/>
    <w:rPr>
      <w:sz w:val="16"/>
      <w:szCs w:val="16"/>
    </w:rPr>
  </w:style>
  <w:style w:type="paragraph" w:styleId="CommentText">
    <w:name w:val="annotation text"/>
    <w:basedOn w:val="Normal"/>
    <w:link w:val="CommentTextChar"/>
    <w:uiPriority w:val="99"/>
    <w:unhideWhenUsed/>
    <w:rsid w:val="00140388"/>
    <w:pPr>
      <w:spacing w:line="240" w:lineRule="auto"/>
    </w:pPr>
    <w:rPr>
      <w:sz w:val="20"/>
      <w:szCs w:val="20"/>
    </w:rPr>
  </w:style>
  <w:style w:type="character" w:customStyle="1" w:styleId="CommentTextChar">
    <w:name w:val="Comment Text Char"/>
    <w:basedOn w:val="DefaultParagraphFont"/>
    <w:link w:val="CommentText"/>
    <w:uiPriority w:val="99"/>
    <w:rsid w:val="00140388"/>
    <w:rPr>
      <w:rFonts w:ascii="Noto Sans" w:hAnsi="Noto Sans" w:cs="Noto Sans"/>
      <w:sz w:val="20"/>
      <w:szCs w:val="20"/>
      <w:lang w:val="en-GB"/>
    </w:rPr>
  </w:style>
  <w:style w:type="paragraph" w:styleId="CommentSubject">
    <w:name w:val="annotation subject"/>
    <w:basedOn w:val="CommentText"/>
    <w:next w:val="CommentText"/>
    <w:link w:val="CommentSubjectChar"/>
    <w:uiPriority w:val="99"/>
    <w:semiHidden/>
    <w:unhideWhenUsed/>
    <w:rsid w:val="00140388"/>
    <w:rPr>
      <w:b/>
      <w:bCs/>
    </w:rPr>
  </w:style>
  <w:style w:type="character" w:customStyle="1" w:styleId="CommentSubjectChar">
    <w:name w:val="Comment Subject Char"/>
    <w:basedOn w:val="CommentTextChar"/>
    <w:link w:val="CommentSubject"/>
    <w:uiPriority w:val="99"/>
    <w:semiHidden/>
    <w:rsid w:val="00140388"/>
    <w:rPr>
      <w:rFonts w:ascii="Noto Sans" w:hAnsi="Noto Sans" w:cs="Noto Sans"/>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lex.ilo.org/dyn/nrmlx_es/f?p=NORMLEXPUB:12100:0::NO::P12100_INSTRUMENT_ID:31233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lex.ilo.org/dyn/nrmlx_es/f?p=NORMLEXPUB:12100:0::NO::P12100_INSTRUMENT_ID:31232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ormlex.ilo.org/dyn/nrmlx_es/f?p=NORMLEXPUB:12100:0::NO::P12100_INSTRUMENT_ID:312314" TargetMode="External"/><Relationship Id="rId4" Type="http://schemas.openxmlformats.org/officeDocument/2006/relationships/settings" Target="settings.xml"/><Relationship Id="rId9" Type="http://schemas.openxmlformats.org/officeDocument/2006/relationships/hyperlink" Target="https://normlex.ilo.org/dyn/nrmlx_es/f?p=NORMLEXPUB:12100:0::NO::P12100_INSTRUMENT_ID:31229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ilo.org/gb/lang--es/index.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lo.org/es/resource/acta-de-actuaciones/gb/353/actas-de-la-353a-reunion-del-consejo-de-administracion-de-la-oficina" TargetMode="External"/><Relationship Id="rId13" Type="http://schemas.openxmlformats.org/officeDocument/2006/relationships/hyperlink" Target="https://www.ilo.org/es/resource/record-proceedings/gb/349/actas-de-la-349a-reunion-del-consejo-de-administracion-de-la-oficina" TargetMode="External"/><Relationship Id="rId3" Type="http://schemas.openxmlformats.org/officeDocument/2006/relationships/hyperlink" Target="https://www.ilo.org/es/resource/documento-informativo-num-4-clasificacion-de-los-instrumentos-y-medidas-de" TargetMode="External"/><Relationship Id="rId7" Type="http://schemas.openxmlformats.org/officeDocument/2006/relationships/hyperlink" Target="https://www.ilo.org/resource/record-proceedings/gb/352/minutes-352nd-session-governing-body-international-labour-office" TargetMode="External"/><Relationship Id="rId12" Type="http://schemas.openxmlformats.org/officeDocument/2006/relationships/hyperlink" Target="https://www.ilo.org/es/resource/conference-paper/gb/349/informe-de-la-octava-reuni%C3%B3n-del-grupo-de-trabajo-tripartito-del-mecanismo" TargetMode="External"/><Relationship Id="rId2" Type="http://schemas.openxmlformats.org/officeDocument/2006/relationships/hyperlink" Target="https://eur01.safelinks.protection.outlook.com/?url=https%3A%2F%2Fwww.ilo.org%2Fsites%2Fdefault%2Ffiles%2Fwcmsp5%2Fgroups%2Fpublic%2F%2540ed_norm%2F%2540normes%2Fdocuments%2Fgenericdocument%2Fwcms_720234.pdf&amp;data=05%7C02%7Cabraldesrodriguez%40ilo.org%7C2afba0a1830049dd8b8808de5f346665%7Cd49b07ca23024e7cb2cbe12127852850%7C0%7C0%7C639052875809567131%7CUnknown%7CTWFpbGZsb3d8eyJFbXB0eU1hcGkiOnRydWUsIlYiOiIwLjAuMDAwMCIsIlAiOiJXaW4zMiIsIkFOIjoiTWFpbCIsIldUIjoyfQ%3D%3D%7C0%7C%7C%7C&amp;sdata=ljXgk36PfQjAfWvLAfamI1Eim%2B%2BYs8mA4nDNbfgUGlo%3D&amp;reserved=0" TargetMode="External"/><Relationship Id="rId1" Type="http://schemas.openxmlformats.org/officeDocument/2006/relationships/hyperlink" Target="https://www.ilo.org/es/resource/documento-informativo-num-4-clasificacion-de-los-instrumentos-y-medidas-de" TargetMode="External"/><Relationship Id="rId6" Type="http://schemas.openxmlformats.org/officeDocument/2006/relationships/hyperlink" Target="https://www.ilo.org/sites/default/files/2025-01/GB352-PV-%5BRELMEETINGS-250113-002%5D-Web-EN.pdf" TargetMode="External"/><Relationship Id="rId11" Type="http://schemas.openxmlformats.org/officeDocument/2006/relationships/hyperlink" Target="https://www.ilo.org/es/resource/prueba-de-conferencia/gb/352/informe-de-la-novena-reunion-del-grupo-de-trabajo-tripartito-del-mecanismo" TargetMode="External"/><Relationship Id="rId5" Type="http://schemas.openxmlformats.org/officeDocument/2006/relationships/hyperlink" Target="https://www.ilo.org/es/resource/prueba-de-conferencia/gb/352/informe-de-la-novena-reunion-del-grupo-de-trabajo-tripartito-del-mecanismo" TargetMode="External"/><Relationship Id="rId10" Type="http://schemas.openxmlformats.org/officeDocument/2006/relationships/hyperlink" Target="https://www.ilo.org/es/resource/record-proceedings/gb/352/actas-de-la-352a-reunion-del-consejo-de-administracion-de-la-oficina" TargetMode="External"/><Relationship Id="rId4" Type="http://schemas.openxmlformats.org/officeDocument/2006/relationships/hyperlink" Target="https://www.ilo.org/sites/default/files/2024-10/GB352-LILS-3-%5BNORMES-241004-001%5D-Web-SP.pdf" TargetMode="External"/><Relationship Id="rId9" Type="http://schemas.openxmlformats.org/officeDocument/2006/relationships/hyperlink" Target="https://www.ilo.org/es/resource/prueba-de-conferencia/gb/352/informe-de-la-novena-reunion-del-grupo-de-trabajo-tripartito-del-mecanismo" TargetMode="External"/><Relationship Id="rId14" Type="http://schemas.openxmlformats.org/officeDocument/2006/relationships/hyperlink" Target="https://www.ilo.org/es/resource/record-proceedings/gb/350/actas-de-la-350a-reunion-del-consejo-de-administracion-de-la-oficina"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Word\All\NEW%20BRANDING%20TEMPLATES\Categories%20of%20templates\Governing%20Body\GB%20Documents\GB_with%20overview\SP\%5b13%5d%20GB_SP_con%20resumen_update_28.11.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6B04ED-1573-4837-B18A-DD407B9EA663}">
  <we:reference id="d128c84c-f807-495a-9a8f-aa9104c56cb6" version="1.0.0.0" store="\\gva-fil-48.ad.ilo.org\V-HQ-95-00-01\ILO\UAT"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946D6-8957-4B35-9E06-BE6D9101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 GB_SP_con resumen_update_28.11.2022.dotx</Template>
  <TotalTime>0</TotalTime>
  <Pages>1</Pages>
  <Words>2797</Words>
  <Characters>15945</Characters>
  <Application>Microsoft Office Word</Application>
  <DocSecurity>0</DocSecurity>
  <Lines>132</Lines>
  <Paragraphs>37</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Formularios propuestos para las memorias que se presentarán en virtud del artículo 19 de la Constitución de la OIT en 2027, 2028 y 2029</vt:lpstr>
      <vt:lpstr>Formularios propuestos para las memorias que se presentarán en virtud del artículo 19 de la Constitución de la OIT en 2027, 2028 y 2029</vt:lpstr>
      <vt:lpstr/>
    </vt:vector>
  </TitlesOfParts>
  <Company>ILO</Company>
  <LinksUpToDate>false</LinksUpToDate>
  <CharactersWithSpaces>18705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Formularios propuestos para las memorias que se presentarán en virtud del artículo 19 de la Constitución de la OIT en 2027, 2028 y 2029</dc:title>
  <dc:subject>NORMES-260128-001</dc:subject>
  <dc:creator>Gomez, Kelly</dc:creator>
  <cp:keywords>GB.356/LILS/3</cp:keywords>
  <dc:description>Leído. Proyecto de decisión revisado por Ana S.</dc:description>
  <cp:lastModifiedBy>Koufane, Samir</cp:lastModifiedBy>
  <cp:revision>9</cp:revision>
  <cp:lastPrinted>2026-02-27T14:08:00Z</cp:lastPrinted>
  <dcterms:created xsi:type="dcterms:W3CDTF">2026-04-08T13:00:00Z</dcterms:created>
  <dcterms:modified xsi:type="dcterms:W3CDTF">2026-06-15T10:06:00Z</dcterms:modified>
</cp:coreProperties>
</file>