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Borders>
          <w:top w:val="single" w:sz="4" w:space="0" w:color="auto"/>
          <w:left w:val="single" w:sz="4" w:space="0" w:color="auto"/>
          <w:bottom w:val="single" w:sz="8"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39"/>
      </w:tblGrid>
      <w:tr w:rsidR="00C60F6F" w:rsidRPr="007171CB" w14:paraId="63D81A76" w14:textId="77777777" w:rsidTr="00F47901">
        <w:trPr>
          <w:trHeight w:val="3118"/>
        </w:trPr>
        <w:tc>
          <w:tcPr>
            <w:tcW w:w="9639" w:type="dxa"/>
            <w:tcBorders>
              <w:top w:val="nil"/>
              <w:left w:val="nil"/>
              <w:bottom w:val="nil"/>
              <w:right w:val="nil"/>
            </w:tcBorders>
            <w:vAlign w:val="bottom"/>
          </w:tcPr>
          <w:bookmarkStart w:id="0" w:name="GBNoTocFr"/>
          <w:p w14:paraId="6D07EB3B" w14:textId="36310FC4" w:rsidR="00C60F6F" w:rsidRPr="007171CB" w:rsidRDefault="00934369" w:rsidP="00934369">
            <w:pPr>
              <w:pStyle w:val="ILCReportTypItem"/>
            </w:pPr>
            <w:r w:rsidRPr="00411C07">
              <w:rPr>
                <w:lang w:val="de-DE"/>
              </w:rPr>
              <w:fldChar w:fldCharType="begin"/>
            </w:r>
            <w:r w:rsidRPr="00411C07">
              <w:rPr>
                <w:lang w:val="en-GB"/>
              </w:rPr>
              <w:instrText xml:space="preserve"> MERGEFIELD  Rel.ReportLabel  \* MERGEFORMAT </w:instrText>
            </w:r>
            <w:r w:rsidRPr="00411C07">
              <w:rPr>
                <w:lang w:val="de-DE"/>
              </w:rPr>
              <w:fldChar w:fldCharType="separate"/>
            </w:r>
            <w:r w:rsidR="000B0CF7" w:rsidRPr="00411C07">
              <w:rPr>
                <w:noProof/>
                <w:lang w:val="en-GB"/>
              </w:rPr>
              <w:t>Rapport</w:t>
            </w:r>
            <w:r w:rsidRPr="00411C07">
              <w:fldChar w:fldCharType="end"/>
            </w:r>
            <w:r w:rsidR="00C60F6F" w:rsidRPr="00411C07">
              <w:t xml:space="preserve"> </w:t>
            </w:r>
            <w:r w:rsidR="00F82ECE">
              <w:fldChar w:fldCharType="begin"/>
            </w:r>
            <w:r w:rsidR="00F82ECE">
              <w:instrText xml:space="preserve"> MERGEFIELD  Rel.ReportType  \* MERGEFORMAT </w:instrText>
            </w:r>
            <w:r w:rsidR="00F82ECE">
              <w:fldChar w:fldCharType="separate"/>
            </w:r>
            <w:r w:rsidR="000B0CF7" w:rsidRPr="00411C07">
              <w:rPr>
                <w:noProof/>
              </w:rPr>
              <w:t>VII</w:t>
            </w:r>
            <w:r w:rsidR="00F82ECE">
              <w:rPr>
                <w:noProof/>
              </w:rPr>
              <w:fldChar w:fldCharType="end"/>
            </w:r>
            <w:r w:rsidR="00261E6A" w:rsidRPr="00411C07">
              <w:rPr>
                <w:noProof/>
              </w:rPr>
              <w:t xml:space="preserve"> </w:t>
            </w:r>
            <w:r w:rsidR="00F82ECE">
              <w:fldChar w:fldCharType="begin"/>
            </w:r>
            <w:r w:rsidR="00F82ECE">
              <w:instrText xml:space="preserve"> MERGEFIELD  Rel.ReportSubType  \* MERGEFORMAT </w:instrText>
            </w:r>
            <w:r w:rsidR="00F82ECE">
              <w:fldChar w:fldCharType="separate"/>
            </w:r>
            <w:r w:rsidR="000B0CF7" w:rsidRPr="00411C07">
              <w:rPr>
                <w:noProof/>
              </w:rPr>
              <w:t>(1)</w:t>
            </w:r>
            <w:r w:rsidR="00F82ECE">
              <w:rPr>
                <w:noProof/>
              </w:rPr>
              <w:fldChar w:fldCharType="end"/>
            </w:r>
          </w:p>
        </w:tc>
      </w:tr>
      <w:tr w:rsidR="00C60F6F" w:rsidRPr="00486B4D" w14:paraId="562222D6" w14:textId="77777777" w:rsidTr="00F47901">
        <w:trPr>
          <w:trHeight w:val="1984"/>
        </w:trPr>
        <w:tc>
          <w:tcPr>
            <w:tcW w:w="9639" w:type="dxa"/>
            <w:tcBorders>
              <w:top w:val="nil"/>
              <w:left w:val="nil"/>
              <w:bottom w:val="nil"/>
              <w:right w:val="nil"/>
            </w:tcBorders>
            <w:vAlign w:val="center"/>
          </w:tcPr>
          <w:p w14:paraId="747C0D96" w14:textId="77777777" w:rsidR="00C60F6F" w:rsidRPr="007171CB" w:rsidRDefault="00F82ECE" w:rsidP="00F1457C">
            <w:pPr>
              <w:pStyle w:val="ReportTitle0"/>
            </w:pPr>
            <w:r>
              <w:fldChar w:fldCharType="begin"/>
            </w:r>
            <w:r>
              <w:instrText xml:space="preserve"> MERGEFIELD  Rel.ReportTitle  \* MERGEFORMAT </w:instrText>
            </w:r>
            <w:r>
              <w:fldChar w:fldCharType="separate"/>
            </w:r>
            <w:r w:rsidR="000B0CF7">
              <w:rPr>
                <w:noProof/>
              </w:rPr>
              <w:t>Abrogation de quatre conventions internationales du travail</w:t>
            </w:r>
            <w:r>
              <w:rPr>
                <w:noProof/>
              </w:rPr>
              <w:fldChar w:fldCharType="end"/>
            </w:r>
          </w:p>
        </w:tc>
      </w:tr>
      <w:tr w:rsidR="00C60F6F" w:rsidRPr="00486B4D" w14:paraId="56CA3BF9" w14:textId="77777777" w:rsidTr="00F479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1417"/>
        </w:trPr>
        <w:tc>
          <w:tcPr>
            <w:tcW w:w="9639" w:type="dxa"/>
          </w:tcPr>
          <w:p w14:paraId="769F4295" w14:textId="77777777" w:rsidR="00C60F6F" w:rsidRPr="007171CB" w:rsidRDefault="00C60F6F" w:rsidP="00153DDA">
            <w:pPr>
              <w:pStyle w:val="ReportSub-Title"/>
            </w:pPr>
            <w:r w:rsidRPr="007171CB">
              <w:rPr>
                <w:b/>
                <w:iCs/>
              </w:rPr>
              <w:fldChar w:fldCharType="begin"/>
            </w:r>
            <w:r w:rsidRPr="007171CB">
              <w:rPr>
                <w:iCs/>
              </w:rPr>
              <w:instrText xml:space="preserve"> MERGEFIELD  Rel.SubTitle  \* MERGEFORMAT </w:instrText>
            </w:r>
            <w:r w:rsidR="00F82ECE">
              <w:rPr>
                <w:b/>
                <w:iCs/>
              </w:rPr>
              <w:fldChar w:fldCharType="separate"/>
            </w:r>
            <w:r w:rsidRPr="007171CB">
              <w:rPr>
                <w:iCs/>
              </w:rPr>
              <w:fldChar w:fldCharType="end"/>
            </w:r>
          </w:p>
        </w:tc>
      </w:tr>
      <w:tr w:rsidR="00C60F6F" w:rsidRPr="00486B4D" w14:paraId="678E3724" w14:textId="77777777" w:rsidTr="00F479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hRule="exact" w:val="1701"/>
        </w:trPr>
        <w:tc>
          <w:tcPr>
            <w:tcW w:w="9639" w:type="dxa"/>
          </w:tcPr>
          <w:p w14:paraId="276BA463" w14:textId="77777777" w:rsidR="00C60F6F" w:rsidRPr="007171CB" w:rsidRDefault="00F82ECE" w:rsidP="00A84036">
            <w:pPr>
              <w:pStyle w:val="ILCReportTypItem"/>
              <w:rPr>
                <w:rFonts w:ascii="Overpass Light" w:hAnsi="Overpass Light"/>
                <w:color w:val="230050"/>
              </w:rPr>
            </w:pPr>
            <w:r>
              <w:fldChar w:fldCharType="begin"/>
            </w:r>
            <w:r>
              <w:instrText xml:space="preserve"> MERGEFIELD  Rel.QuestionNumber  \* MERGEFORMAT </w:instrText>
            </w:r>
            <w:r>
              <w:fldChar w:fldCharType="separate"/>
            </w:r>
            <w:r w:rsidR="000B0CF7">
              <w:rPr>
                <w:noProof/>
              </w:rPr>
              <w:t>Septième question à l’ordre du jour</w:t>
            </w:r>
            <w:r>
              <w:rPr>
                <w:noProof/>
              </w:rPr>
              <w:fldChar w:fldCharType="end"/>
            </w:r>
          </w:p>
        </w:tc>
      </w:tr>
      <w:tr w:rsidR="00C60F6F" w:rsidRPr="00486B4D" w14:paraId="7CCCF817" w14:textId="77777777" w:rsidTr="00F479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268"/>
        </w:trPr>
        <w:tc>
          <w:tcPr>
            <w:tcW w:w="9639" w:type="dxa"/>
            <w:tcBorders>
              <w:bottom w:val="nil"/>
            </w:tcBorders>
            <w:vAlign w:val="center"/>
          </w:tcPr>
          <w:p w14:paraId="55E63D5D" w14:textId="77777777" w:rsidR="00C60F6F" w:rsidRPr="007171CB" w:rsidRDefault="00C60F6F" w:rsidP="005B1D1D">
            <w:pPr>
              <w:pStyle w:val="ILCReportTypItem"/>
            </w:pPr>
          </w:p>
        </w:tc>
      </w:tr>
      <w:tr w:rsidR="00C60F6F" w:rsidRPr="00486B4D" w14:paraId="39535E98" w14:textId="77777777" w:rsidTr="00F479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hRule="exact" w:val="3118"/>
        </w:trPr>
        <w:tc>
          <w:tcPr>
            <w:tcW w:w="9639" w:type="dxa"/>
            <w:vAlign w:val="bottom"/>
          </w:tcPr>
          <w:p w14:paraId="5E568C5B" w14:textId="77777777" w:rsidR="00C60F6F" w:rsidRPr="007171CB" w:rsidRDefault="008F5A7D" w:rsidP="008F5A7D">
            <w:pPr>
              <w:pStyle w:val="ReportAuthors"/>
            </w:pPr>
            <w:r w:rsidRPr="008F5A7D">
              <w:rPr>
                <w:lang w:val="fr-CH"/>
              </w:rPr>
              <w:t>Bureau international du Travail, Genève</w:t>
            </w:r>
          </w:p>
        </w:tc>
      </w:tr>
    </w:tbl>
    <w:p w14:paraId="4E60B766" w14:textId="77777777" w:rsidR="001B6BEE" w:rsidRPr="007171CB" w:rsidRDefault="001B6BEE" w:rsidP="00C12131">
      <w:pPr>
        <w:pStyle w:val="ReportPara"/>
        <w:sectPr w:rsidR="001B6BEE" w:rsidRPr="007171CB" w:rsidSect="002B76AE">
          <w:headerReference w:type="even" r:id="rId8"/>
          <w:headerReference w:type="default" r:id="rId9"/>
          <w:headerReference w:type="first" r:id="rId10"/>
          <w:pgSz w:w="11906" w:h="16838" w:code="9"/>
          <w:pgMar w:top="2268" w:right="1134" w:bottom="964" w:left="1134" w:header="851" w:footer="680" w:gutter="0"/>
          <w:cols w:space="708"/>
          <w:titlePg/>
          <w:docGrid w:linePitch="360"/>
        </w:sectPr>
      </w:pPr>
    </w:p>
    <w:tbl>
      <w:tblPr>
        <w:tblW w:w="9639" w:type="dxa"/>
        <w:tblCellMar>
          <w:left w:w="0" w:type="dxa"/>
          <w:right w:w="0" w:type="dxa"/>
        </w:tblCellMar>
        <w:tblLook w:val="0000" w:firstRow="0" w:lastRow="0" w:firstColumn="0" w:lastColumn="0" w:noHBand="0" w:noVBand="0"/>
      </w:tblPr>
      <w:tblGrid>
        <w:gridCol w:w="9639"/>
      </w:tblGrid>
      <w:tr w:rsidR="00F47901" w:rsidRPr="000C43B1" w14:paraId="0DA45C85" w14:textId="77777777" w:rsidTr="002B76AE">
        <w:trPr>
          <w:trHeight w:hRule="exact" w:val="567"/>
        </w:trPr>
        <w:tc>
          <w:tcPr>
            <w:tcW w:w="5000" w:type="pct"/>
            <w:vAlign w:val="bottom"/>
          </w:tcPr>
          <w:p w14:paraId="6F689726" w14:textId="618ABC23" w:rsidR="00F47901" w:rsidRPr="000C43B1" w:rsidRDefault="000C43B1" w:rsidP="000C43B1">
            <w:pPr>
              <w:pStyle w:val="ReportCopyright"/>
            </w:pPr>
            <w:bookmarkStart w:id="1" w:name="_Toc84174024"/>
            <w:r w:rsidRPr="000C43B1">
              <w:lastRenderedPageBreak/>
              <w:t>Copyright © Organisation internationale du Travail 20</w:t>
            </w:r>
            <w:r w:rsidR="00BB76CE">
              <w:t>22</w:t>
            </w:r>
          </w:p>
          <w:p w14:paraId="1A7B7781" w14:textId="164A543E" w:rsidR="000C43B1" w:rsidRPr="000C43B1" w:rsidRDefault="000C43B1" w:rsidP="000C43B1">
            <w:pPr>
              <w:pStyle w:val="ReportCopyright"/>
            </w:pPr>
            <w:r w:rsidRPr="000C43B1">
              <w:t>Première édition 20</w:t>
            </w:r>
            <w:r w:rsidR="00BB76CE">
              <w:t>22</w:t>
            </w:r>
          </w:p>
        </w:tc>
      </w:tr>
      <w:tr w:rsidR="00F47901" w:rsidRPr="00486B4D" w14:paraId="57DCC881" w14:textId="77777777" w:rsidTr="000C43B1">
        <w:trPr>
          <w:trHeight w:hRule="exact" w:val="2835"/>
        </w:trPr>
        <w:tc>
          <w:tcPr>
            <w:tcW w:w="5000" w:type="pct"/>
            <w:vAlign w:val="bottom"/>
          </w:tcPr>
          <w:p w14:paraId="757E06D2" w14:textId="019B48FA" w:rsidR="00F47901" w:rsidRPr="000C43B1" w:rsidRDefault="000C43B1" w:rsidP="000C43B1">
            <w:pPr>
              <w:pStyle w:val="ReportCopyright"/>
            </w:pPr>
            <w:r w:rsidRPr="000C43B1">
              <w:t>Les publications de l’Organisation internationale du Travail (OIT) jouissent de la protection du droit d’auteur en vertu du protocole n</w:t>
            </w:r>
            <w:r w:rsidRPr="006824D5">
              <w:rPr>
                <w:vertAlign w:val="superscript"/>
              </w:rPr>
              <w:t>o</w:t>
            </w:r>
            <w:r w:rsidR="006824D5">
              <w:t> </w:t>
            </w:r>
            <w:r w:rsidRPr="000C43B1">
              <w:t xml:space="preserve">2, annexe à la Convention universelle pour la protection du droit d’auteur. Toutefois, de courts passages pourront être reproduits sans autorisation, à la condition que leur source soit dûment mentionnée. Toute demande d’autorisation de reproduction ou de traduction devra être envoyée à Publications (Droits et licences), Bureau international du Travail, CH-1211 Genève 22, Suisse, ou par courriel à </w:t>
            </w:r>
            <w:hyperlink r:id="rId11" w:history="1">
              <w:r w:rsidRPr="000C43B1">
                <w:rPr>
                  <w:rStyle w:val="ReportHyperlink"/>
                </w:rPr>
                <w:t>rights@ilo.org</w:t>
              </w:r>
            </w:hyperlink>
            <w:r w:rsidRPr="000C43B1">
              <w:t>. Ces demandes seront toujours les bienvenues.</w:t>
            </w:r>
          </w:p>
          <w:p w14:paraId="7ED8A271" w14:textId="77777777" w:rsidR="000C43B1" w:rsidRPr="000C43B1" w:rsidRDefault="000C43B1" w:rsidP="000C43B1">
            <w:pPr>
              <w:pStyle w:val="ReportCopyright"/>
            </w:pPr>
            <w:r w:rsidRPr="000C43B1">
              <w:t xml:space="preserve">Bibliothèques, institutions et autres utilisateurs enregistrés auprès d’un organisme de gestion des droits de reproduction ne peuvent faire des copies qu’en accord avec les conditions et droits qui leur ont été octroyés. Consultez le site </w:t>
            </w:r>
            <w:hyperlink r:id="rId12" w:history="1">
              <w:r w:rsidRPr="000C43B1">
                <w:rPr>
                  <w:rStyle w:val="ReportHyperlink"/>
                </w:rPr>
                <w:t>www.ifrro.org</w:t>
              </w:r>
            </w:hyperlink>
            <w:r w:rsidRPr="000C43B1">
              <w:t xml:space="preserve"> afin de trouver l’organisme responsable de la gestion des droits de reproduction dans votre pays.</w:t>
            </w:r>
          </w:p>
        </w:tc>
      </w:tr>
      <w:tr w:rsidR="00F47901" w:rsidRPr="00486B4D" w14:paraId="70854ADF" w14:textId="77777777" w:rsidTr="002B76AE">
        <w:trPr>
          <w:trHeight w:hRule="exact" w:val="227"/>
        </w:trPr>
        <w:tc>
          <w:tcPr>
            <w:tcW w:w="5000" w:type="pct"/>
            <w:tcBorders>
              <w:bottom w:val="single" w:sz="4" w:space="0" w:color="auto"/>
            </w:tcBorders>
            <w:vAlign w:val="bottom"/>
          </w:tcPr>
          <w:p w14:paraId="4C04D5A7" w14:textId="77777777" w:rsidR="00F47901" w:rsidRPr="000C43B1" w:rsidRDefault="00F47901" w:rsidP="00153DDA">
            <w:pPr>
              <w:pStyle w:val="ReportCopyright"/>
            </w:pPr>
          </w:p>
        </w:tc>
      </w:tr>
      <w:tr w:rsidR="00F47901" w:rsidRPr="00486B4D" w14:paraId="5231AA5A" w14:textId="77777777" w:rsidTr="002B76AE">
        <w:trPr>
          <w:trHeight w:hRule="exact" w:val="227"/>
        </w:trPr>
        <w:tc>
          <w:tcPr>
            <w:tcW w:w="5000" w:type="pct"/>
            <w:tcBorders>
              <w:top w:val="single" w:sz="4" w:space="0" w:color="auto"/>
            </w:tcBorders>
            <w:vAlign w:val="bottom"/>
          </w:tcPr>
          <w:p w14:paraId="449639BC" w14:textId="77777777" w:rsidR="00F47901" w:rsidRPr="000C43B1" w:rsidRDefault="00F47901" w:rsidP="00153DDA">
            <w:pPr>
              <w:pStyle w:val="ReportCopyright"/>
            </w:pPr>
          </w:p>
        </w:tc>
      </w:tr>
      <w:tr w:rsidR="00F47901" w:rsidRPr="006464E1" w14:paraId="32998B3C" w14:textId="77777777" w:rsidTr="002B76AE">
        <w:trPr>
          <w:trHeight w:hRule="exact" w:val="5102"/>
        </w:trPr>
        <w:tc>
          <w:tcPr>
            <w:tcW w:w="5000" w:type="pct"/>
          </w:tcPr>
          <w:p w14:paraId="56611C5B" w14:textId="77777777" w:rsidR="000C43B1" w:rsidRPr="000C43B1" w:rsidRDefault="000C43B1" w:rsidP="000C43B1">
            <w:pPr>
              <w:pStyle w:val="ReportCopyrightISBN"/>
            </w:pPr>
          </w:p>
          <w:p w14:paraId="6689AAD8" w14:textId="618A0200" w:rsidR="000C43B1" w:rsidRPr="000C43B1" w:rsidRDefault="00206BDB" w:rsidP="000C43B1">
            <w:pPr>
              <w:pStyle w:val="ReportCopyrightISBN"/>
            </w:pPr>
            <w:r w:rsidRPr="00206BDB">
              <w:rPr>
                <w:i/>
                <w:iCs/>
              </w:rPr>
              <w:fldChar w:fldCharType="begin"/>
            </w:r>
            <w:r w:rsidRPr="00206BDB">
              <w:rPr>
                <w:i/>
                <w:iCs/>
              </w:rPr>
              <w:instrText xml:space="preserve"> MERGEFIELD  Rel.ReportTitle  \* MERGEFORMAT </w:instrText>
            </w:r>
            <w:r w:rsidRPr="00206BDB">
              <w:rPr>
                <w:i/>
                <w:iCs/>
              </w:rPr>
              <w:fldChar w:fldCharType="separate"/>
            </w:r>
            <w:r w:rsidR="000B0CF7">
              <w:rPr>
                <w:i/>
                <w:iCs/>
                <w:noProof/>
              </w:rPr>
              <w:t>Abrogation de quatre conventions internationales du travail</w:t>
            </w:r>
            <w:r w:rsidRPr="00206BDB">
              <w:rPr>
                <w:i/>
                <w:iCs/>
              </w:rPr>
              <w:fldChar w:fldCharType="end"/>
            </w:r>
            <w:r w:rsidR="000C43B1" w:rsidRPr="000C43B1">
              <w:t>. Genève: Bureau international du Travail,</w:t>
            </w:r>
            <w:r w:rsidR="000C43B1">
              <w:t xml:space="preserve"> 20</w:t>
            </w:r>
            <w:r w:rsidR="00BB76CE">
              <w:t>22</w:t>
            </w:r>
          </w:p>
          <w:p w14:paraId="4A6C0DDD" w14:textId="77777777" w:rsidR="000C43B1" w:rsidRPr="000C43B1" w:rsidRDefault="000C43B1" w:rsidP="000C43B1">
            <w:pPr>
              <w:pStyle w:val="ReportCopyrightISBN"/>
            </w:pPr>
          </w:p>
          <w:p w14:paraId="2E5CB89E" w14:textId="77777777" w:rsidR="000C43B1" w:rsidRPr="000C43B1" w:rsidRDefault="000C43B1" w:rsidP="000C43B1">
            <w:pPr>
              <w:pStyle w:val="ReportCopyrightISBN"/>
            </w:pPr>
          </w:p>
          <w:p w14:paraId="36235D5D" w14:textId="59D01EB0" w:rsidR="000C43B1" w:rsidRPr="00992D5E" w:rsidRDefault="000C43B1" w:rsidP="000C43B1">
            <w:pPr>
              <w:pStyle w:val="ReportCopyrightISBN"/>
            </w:pPr>
            <w:r w:rsidRPr="00992D5E">
              <w:t>ISBN 978-92-2-</w:t>
            </w:r>
            <w:r w:rsidR="00E66C7F" w:rsidRPr="00992D5E">
              <w:t>038368</w:t>
            </w:r>
            <w:r w:rsidRPr="00992D5E">
              <w:t>-</w:t>
            </w:r>
            <w:r w:rsidR="00E66C7F" w:rsidRPr="00992D5E">
              <w:t>1</w:t>
            </w:r>
            <w:r w:rsidRPr="00992D5E">
              <w:t xml:space="preserve"> (imprimé)</w:t>
            </w:r>
          </w:p>
          <w:p w14:paraId="05C19C12" w14:textId="5C2A5FE4" w:rsidR="000C43B1" w:rsidRPr="00992D5E" w:rsidRDefault="000C43B1" w:rsidP="000C43B1">
            <w:pPr>
              <w:pStyle w:val="ReportCopyrightISBN"/>
            </w:pPr>
            <w:r w:rsidRPr="00992D5E">
              <w:t>ISBN 978-92-2-</w:t>
            </w:r>
            <w:r w:rsidR="00E66C7F" w:rsidRPr="00992D5E">
              <w:t>038367</w:t>
            </w:r>
            <w:r w:rsidRPr="00992D5E">
              <w:t>-</w:t>
            </w:r>
            <w:r w:rsidR="00E66C7F" w:rsidRPr="00992D5E">
              <w:t>4</w:t>
            </w:r>
            <w:r w:rsidRPr="00992D5E">
              <w:t xml:space="preserve"> (PDF web)</w:t>
            </w:r>
          </w:p>
          <w:p w14:paraId="6F8D0580" w14:textId="0D533E3B" w:rsidR="00F47901" w:rsidRPr="008826CC" w:rsidRDefault="000C43B1" w:rsidP="000C43B1">
            <w:pPr>
              <w:pStyle w:val="ReportCopyrightISBN"/>
              <w:rPr>
                <w:lang w:val="en-US"/>
              </w:rPr>
            </w:pPr>
            <w:r w:rsidRPr="008826CC">
              <w:rPr>
                <w:lang w:val="en-US"/>
              </w:rPr>
              <w:t>ISSN 0251-3218</w:t>
            </w:r>
          </w:p>
          <w:p w14:paraId="1018EABA" w14:textId="77777777" w:rsidR="000C43B1" w:rsidRPr="008826CC" w:rsidRDefault="000C43B1" w:rsidP="000C43B1">
            <w:pPr>
              <w:pStyle w:val="ReportCopyrightISBN"/>
              <w:rPr>
                <w:lang w:val="en-US"/>
              </w:rPr>
            </w:pPr>
          </w:p>
          <w:p w14:paraId="26F1925A" w14:textId="77777777" w:rsidR="000C43B1" w:rsidRPr="008826CC" w:rsidRDefault="000C43B1" w:rsidP="000C43B1">
            <w:pPr>
              <w:pStyle w:val="ReportCopyrightISBN"/>
              <w:rPr>
                <w:lang w:val="en-US"/>
              </w:rPr>
            </w:pPr>
          </w:p>
          <w:p w14:paraId="1C8843B0" w14:textId="7D3361BA" w:rsidR="000C43B1" w:rsidRPr="00992D5E" w:rsidRDefault="000C43B1" w:rsidP="003B5FCC">
            <w:pPr>
              <w:pStyle w:val="ReportCopyrightISBN"/>
              <w:rPr>
                <w:lang w:val="en-US"/>
              </w:rPr>
            </w:pPr>
          </w:p>
        </w:tc>
      </w:tr>
      <w:tr w:rsidR="00F47901" w:rsidRPr="006464E1" w14:paraId="77688835" w14:textId="77777777" w:rsidTr="002D3191">
        <w:trPr>
          <w:trHeight w:val="850"/>
        </w:trPr>
        <w:tc>
          <w:tcPr>
            <w:tcW w:w="5000" w:type="pct"/>
            <w:vAlign w:val="bottom"/>
          </w:tcPr>
          <w:p w14:paraId="477F3D89" w14:textId="77777777" w:rsidR="00F47901" w:rsidRPr="00992D5E" w:rsidRDefault="00F47901" w:rsidP="00007FAC">
            <w:pPr>
              <w:pStyle w:val="ReportCopyright"/>
              <w:rPr>
                <w:lang w:val="en-US"/>
              </w:rPr>
            </w:pPr>
          </w:p>
        </w:tc>
      </w:tr>
      <w:tr w:rsidR="00F47901" w:rsidRPr="006464E1" w14:paraId="72D55101" w14:textId="77777777" w:rsidTr="002B76AE">
        <w:trPr>
          <w:trHeight w:hRule="exact" w:val="227"/>
        </w:trPr>
        <w:tc>
          <w:tcPr>
            <w:tcW w:w="5000" w:type="pct"/>
            <w:tcBorders>
              <w:bottom w:val="single" w:sz="4" w:space="0" w:color="auto"/>
            </w:tcBorders>
            <w:vAlign w:val="bottom"/>
          </w:tcPr>
          <w:p w14:paraId="003E587D" w14:textId="77777777" w:rsidR="00F47901" w:rsidRPr="00992D5E" w:rsidRDefault="00F47901" w:rsidP="00153DDA">
            <w:pPr>
              <w:pStyle w:val="ReportCopyright"/>
              <w:rPr>
                <w:lang w:val="en-US"/>
              </w:rPr>
            </w:pPr>
          </w:p>
        </w:tc>
      </w:tr>
      <w:tr w:rsidR="00F47901" w:rsidRPr="006464E1" w14:paraId="7664326A" w14:textId="77777777" w:rsidTr="002B76AE">
        <w:trPr>
          <w:trHeight w:hRule="exact" w:val="227"/>
        </w:trPr>
        <w:tc>
          <w:tcPr>
            <w:tcW w:w="5000" w:type="pct"/>
            <w:tcBorders>
              <w:top w:val="single" w:sz="4" w:space="0" w:color="auto"/>
            </w:tcBorders>
            <w:vAlign w:val="bottom"/>
          </w:tcPr>
          <w:p w14:paraId="7C9189E6" w14:textId="77777777" w:rsidR="00F47901" w:rsidRPr="00992D5E" w:rsidRDefault="00F47901" w:rsidP="00153DDA">
            <w:pPr>
              <w:pStyle w:val="ReportCopyright"/>
              <w:rPr>
                <w:lang w:val="en-US"/>
              </w:rPr>
            </w:pPr>
          </w:p>
        </w:tc>
      </w:tr>
      <w:tr w:rsidR="00F47901" w:rsidRPr="00486B4D" w14:paraId="13B90CDA" w14:textId="77777777" w:rsidTr="002D3191">
        <w:trPr>
          <w:trHeight w:hRule="exact" w:val="2438"/>
        </w:trPr>
        <w:tc>
          <w:tcPr>
            <w:tcW w:w="5000" w:type="pct"/>
          </w:tcPr>
          <w:p w14:paraId="7CEF0211" w14:textId="77777777" w:rsidR="00F47901" w:rsidRPr="002D3191" w:rsidRDefault="002D3191" w:rsidP="002D3191">
            <w:pPr>
              <w:pStyle w:val="ReportCopyright"/>
            </w:pPr>
            <w:r w:rsidRPr="002D3191">
              <w:t>Les désignations utilisées dans les publications de l’OIT, qui sont conformes à la pratique des Nations Unies, et la présentation des données qui y figurent n’impliquent de la part de l’OIT aucune prise de position quant au statut juridique de tel ou tel pays, zone ou territoire, ou de ses autorités, ni quant au tracé de ses frontières.</w:t>
            </w:r>
          </w:p>
          <w:p w14:paraId="782F463A" w14:textId="77777777" w:rsidR="002D3191" w:rsidRPr="002D3191" w:rsidRDefault="002D3191" w:rsidP="002D3191">
            <w:pPr>
              <w:pStyle w:val="ReportCopyright"/>
            </w:pPr>
            <w:r w:rsidRPr="002D3191">
              <w:t>Les articles, études et autres textes signés n’engagent que leurs auteurs, et leur publication ne signifie pas que l’OIT souscrit aux opinions qui y sont exprimées.</w:t>
            </w:r>
          </w:p>
          <w:p w14:paraId="48A6093E" w14:textId="77777777" w:rsidR="00F47901" w:rsidRPr="002D3191" w:rsidRDefault="002D3191" w:rsidP="002D3191">
            <w:pPr>
              <w:pStyle w:val="ReportCopyright"/>
            </w:pPr>
            <w:r w:rsidRPr="002D3191">
              <w:t>La mention ou la non-mention de telle ou telle entreprise ou de tel ou tel produit ou procédé commercial n’implique de la part de l’OIT aucune appréciation favorable ou défavorable.</w:t>
            </w:r>
          </w:p>
          <w:p w14:paraId="24BD7833" w14:textId="6902E940" w:rsidR="00F47901" w:rsidRPr="002D3191" w:rsidRDefault="002D3191" w:rsidP="002D3191">
            <w:pPr>
              <w:pStyle w:val="ReportCopyright"/>
            </w:pPr>
            <w:r w:rsidRPr="002D3191">
              <w:t xml:space="preserve">Pour toute information sur les publications et les produits numériques de l’OIT, consultez notre site Web: </w:t>
            </w:r>
            <w:hyperlink r:id="rId13" w:history="1">
              <w:r w:rsidRPr="002D3191">
                <w:rPr>
                  <w:rStyle w:val="ReportHyperlink"/>
                </w:rPr>
                <w:t>www.ilo.org/publns</w:t>
              </w:r>
            </w:hyperlink>
            <w:r>
              <w:rPr>
                <w:rStyle w:val="Hyperlink"/>
                <w:color w:val="auto"/>
                <w:u w:val="none"/>
              </w:rPr>
              <w:t>.</w:t>
            </w:r>
          </w:p>
        </w:tc>
      </w:tr>
      <w:tr w:rsidR="00F47901" w:rsidRPr="00486B4D" w14:paraId="48DDFA90" w14:textId="77777777" w:rsidTr="002B76AE">
        <w:trPr>
          <w:trHeight w:hRule="exact" w:val="227"/>
        </w:trPr>
        <w:tc>
          <w:tcPr>
            <w:tcW w:w="5000" w:type="pct"/>
            <w:tcBorders>
              <w:bottom w:val="single" w:sz="4" w:space="0" w:color="auto"/>
            </w:tcBorders>
            <w:vAlign w:val="bottom"/>
          </w:tcPr>
          <w:p w14:paraId="3D2ED63F" w14:textId="77777777" w:rsidR="00F47901" w:rsidRPr="007171CB" w:rsidRDefault="00F47901" w:rsidP="00153DDA">
            <w:pPr>
              <w:pStyle w:val="ReportCopyright"/>
            </w:pPr>
          </w:p>
        </w:tc>
      </w:tr>
      <w:tr w:rsidR="00F47901" w:rsidRPr="00486B4D" w14:paraId="33648B94" w14:textId="77777777" w:rsidTr="002B76AE">
        <w:trPr>
          <w:trHeight w:hRule="exact" w:val="227"/>
        </w:trPr>
        <w:tc>
          <w:tcPr>
            <w:tcW w:w="5000" w:type="pct"/>
            <w:tcBorders>
              <w:top w:val="single" w:sz="4" w:space="0" w:color="auto"/>
            </w:tcBorders>
            <w:vAlign w:val="bottom"/>
          </w:tcPr>
          <w:p w14:paraId="06E251B0" w14:textId="77777777" w:rsidR="00F47901" w:rsidRPr="007171CB" w:rsidRDefault="00F47901" w:rsidP="00153DDA">
            <w:pPr>
              <w:pStyle w:val="ReportCopyright"/>
            </w:pPr>
          </w:p>
        </w:tc>
      </w:tr>
      <w:tr w:rsidR="00F47901" w:rsidRPr="007171CB" w14:paraId="163F3BE3" w14:textId="77777777" w:rsidTr="002B76AE">
        <w:tblPrEx>
          <w:tblLook w:val="04A0" w:firstRow="1" w:lastRow="0" w:firstColumn="1" w:lastColumn="0" w:noHBand="0" w:noVBand="1"/>
        </w:tblPrEx>
        <w:tc>
          <w:tcPr>
            <w:tcW w:w="5000" w:type="pct"/>
          </w:tcPr>
          <w:p w14:paraId="334B80E9" w14:textId="672A8B8A" w:rsidR="00F47901" w:rsidRPr="007171CB" w:rsidRDefault="000C76E1" w:rsidP="00206BDB">
            <w:pPr>
              <w:pStyle w:val="ReportCopyrightPrint"/>
            </w:pPr>
            <w:r w:rsidRPr="000C76E1">
              <w:rPr>
                <w:lang w:val="fr-CH"/>
              </w:rPr>
              <w:t xml:space="preserve">Mis en pages par </w:t>
            </w:r>
            <w:proofErr w:type="gramStart"/>
            <w:r w:rsidR="002D3191">
              <w:rPr>
                <w:lang w:val="fr-CH"/>
              </w:rPr>
              <w:t>RELMEETINGS</w:t>
            </w:r>
            <w:r w:rsidRPr="007576D8">
              <w:rPr>
                <w:lang w:val="fr-CH"/>
              </w:rPr>
              <w:t>:</w:t>
            </w:r>
            <w:proofErr w:type="gramEnd"/>
            <w:r w:rsidRPr="007576D8">
              <w:rPr>
                <w:lang w:val="fr-CH"/>
              </w:rPr>
              <w:t xml:space="preserve"> </w:t>
            </w:r>
            <w:r w:rsidR="00206BDB" w:rsidRPr="007576D8">
              <w:t>ILC</w:t>
            </w:r>
            <w:r w:rsidR="00F82ECE">
              <w:fldChar w:fldCharType="begin"/>
            </w:r>
            <w:r w:rsidR="00F82ECE">
              <w:instrText xml:space="preserve"> MERGEFIELD  Rel.SessionNumber  \* MERGEFORMAT </w:instrText>
            </w:r>
            <w:r w:rsidR="00F82ECE">
              <w:fldChar w:fldCharType="separate"/>
            </w:r>
            <w:r w:rsidR="000B0CF7" w:rsidRPr="007576D8">
              <w:rPr>
                <w:noProof/>
              </w:rPr>
              <w:t>112</w:t>
            </w:r>
            <w:r w:rsidR="00F82ECE">
              <w:rPr>
                <w:noProof/>
              </w:rPr>
              <w:fldChar w:fldCharType="end"/>
            </w:r>
            <w:r w:rsidR="00206BDB" w:rsidRPr="007576D8">
              <w:t>(20</w:t>
            </w:r>
            <w:r w:rsidR="00BB76CE" w:rsidRPr="007576D8">
              <w:t>24</w:t>
            </w:r>
            <w:r w:rsidR="00206BDB" w:rsidRPr="007576D8">
              <w:t>)-</w:t>
            </w:r>
            <w:r w:rsidR="00F82ECE">
              <w:fldChar w:fldCharType="begin"/>
            </w:r>
            <w:r w:rsidR="00F82ECE">
              <w:instrText xml:space="preserve"> MERGEFIELD  Rel.ReportTypeHeader  \* MERGEFORMAT </w:instrText>
            </w:r>
            <w:r w:rsidR="00F82ECE">
              <w:fldChar w:fldCharType="separate"/>
            </w:r>
            <w:r w:rsidR="000B0CF7" w:rsidRPr="00BB76CE">
              <w:rPr>
                <w:noProof/>
              </w:rPr>
              <w:t>VII(1)</w:t>
            </w:r>
            <w:r w:rsidR="00F82ECE">
              <w:rPr>
                <w:noProof/>
              </w:rPr>
              <w:fldChar w:fldCharType="end"/>
            </w:r>
            <w:r w:rsidR="002D3191" w:rsidRPr="00BB76CE">
              <w:t>-[</w:t>
            </w:r>
            <w:r w:rsidR="00BB76CE" w:rsidRPr="00BB76CE">
              <w:t>JUR-220926-001</w:t>
            </w:r>
            <w:r w:rsidRPr="000C76E1">
              <w:rPr>
                <w:lang w:val="fr-CH"/>
              </w:rPr>
              <w:t>]-Fr.docx</w:t>
            </w:r>
          </w:p>
          <w:p w14:paraId="729D43CE" w14:textId="77777777" w:rsidR="00F47901" w:rsidRPr="007171CB" w:rsidRDefault="000C76E1" w:rsidP="000C76E1">
            <w:pPr>
              <w:pStyle w:val="ReportCopyrightPrint"/>
            </w:pPr>
            <w:r w:rsidRPr="000C76E1">
              <w:rPr>
                <w:lang w:val="fr-CH"/>
              </w:rPr>
              <w:t>Imprimé</w:t>
            </w:r>
            <w:r w:rsidR="002D3191">
              <w:rPr>
                <w:lang w:val="fr-CH"/>
              </w:rPr>
              <w:t xml:space="preserve"> en</w:t>
            </w:r>
            <w:r w:rsidRPr="000C76E1">
              <w:rPr>
                <w:lang w:val="fr-CH"/>
              </w:rPr>
              <w:t xml:space="preserve"> Suisse</w:t>
            </w:r>
            <w:r w:rsidR="002D3191">
              <w:rPr>
                <w:lang w:val="fr-CH"/>
              </w:rPr>
              <w:t>.</w:t>
            </w:r>
          </w:p>
        </w:tc>
      </w:tr>
    </w:tbl>
    <w:p w14:paraId="12E9254C" w14:textId="77777777" w:rsidR="00F47901" w:rsidRPr="007171CB" w:rsidRDefault="00F47901" w:rsidP="008D543E">
      <w:pPr>
        <w:pStyle w:val="ReportPara"/>
        <w:sectPr w:rsidR="00F47901" w:rsidRPr="007171CB" w:rsidSect="002B76AE">
          <w:headerReference w:type="first" r:id="rId14"/>
          <w:pgSz w:w="11906" w:h="16838" w:code="9"/>
          <w:pgMar w:top="2268" w:right="1134" w:bottom="964" w:left="1134" w:header="851" w:footer="680" w:gutter="0"/>
          <w:cols w:space="708"/>
          <w:titlePg/>
          <w:docGrid w:linePitch="360"/>
        </w:sectPr>
      </w:pPr>
    </w:p>
    <w:p w14:paraId="07D23E41" w14:textId="77777777" w:rsidR="003A5000" w:rsidRPr="007171CB" w:rsidRDefault="000C76E1" w:rsidP="000C76E1">
      <w:pPr>
        <w:pStyle w:val="ReportChapter"/>
      </w:pPr>
      <w:bookmarkStart w:id="2" w:name="_Toc117775914"/>
      <w:bookmarkStart w:id="3" w:name="_Toc84174025"/>
      <w:bookmarkEnd w:id="1"/>
      <w:r w:rsidRPr="000C76E1">
        <w:rPr>
          <w:lang w:val="en-GB"/>
        </w:rPr>
        <w:lastRenderedPageBreak/>
        <w:t>Table des matières</w:t>
      </w:r>
      <w:bookmarkEnd w:id="2"/>
    </w:p>
    <w:p w14:paraId="100BDA5B" w14:textId="6A7DCD85" w:rsidR="00C2765C" w:rsidRDefault="00D63996" w:rsidP="00C87AD6">
      <w:pPr>
        <w:pStyle w:val="TOCpage"/>
        <w:rPr>
          <w:rFonts w:asciiTheme="minorHAnsi" w:eastAsiaTheme="minorEastAsia" w:hAnsiTheme="minorHAnsi" w:cstheme="minorBidi"/>
          <w:noProof/>
          <w:sz w:val="22"/>
          <w:szCs w:val="22"/>
          <w:lang w:eastAsia="fr-FR"/>
        </w:rPr>
      </w:pPr>
      <w:r w:rsidRPr="007171CB">
        <w:t>Page</w:t>
      </w:r>
      <w:r w:rsidR="00153DDA" w:rsidRPr="007171CB">
        <w:fldChar w:fldCharType="begin"/>
      </w:r>
      <w:r w:rsidR="00153DDA" w:rsidRPr="007171CB">
        <w:instrText xml:space="preserve"> TOC \o "1-3" \h \z \u </w:instrText>
      </w:r>
      <w:r w:rsidR="00153DDA" w:rsidRPr="007171CB">
        <w:fldChar w:fldCharType="separate"/>
      </w:r>
      <w:hyperlink w:anchor="_Toc117775914" w:history="1"/>
    </w:p>
    <w:p w14:paraId="31C49426" w14:textId="5362186B" w:rsidR="00C2765C" w:rsidRDefault="00F82ECE">
      <w:pPr>
        <w:pStyle w:val="TOC1"/>
        <w:rPr>
          <w:rFonts w:asciiTheme="minorHAnsi" w:eastAsiaTheme="minorEastAsia" w:hAnsiTheme="minorHAnsi" w:cstheme="minorBidi"/>
          <w:noProof/>
          <w:sz w:val="22"/>
          <w:szCs w:val="22"/>
          <w:lang w:eastAsia="fr-FR"/>
        </w:rPr>
      </w:pPr>
      <w:hyperlink w:anchor="_Toc117775915" w:history="1">
        <w:r w:rsidR="00C2765C" w:rsidRPr="00FE7404">
          <w:rPr>
            <w:rStyle w:val="Hyperlink"/>
            <w:noProof/>
            <w:lang w:val="en-US"/>
          </w:rPr>
          <w:t>Introduction</w:t>
        </w:r>
        <w:r w:rsidR="00C2765C">
          <w:rPr>
            <w:noProof/>
            <w:webHidden/>
          </w:rPr>
          <w:tab/>
        </w:r>
        <w:r w:rsidR="00C87AD6">
          <w:rPr>
            <w:noProof/>
            <w:webHidden/>
          </w:rPr>
          <w:tab/>
        </w:r>
        <w:r w:rsidR="00C2765C">
          <w:rPr>
            <w:noProof/>
            <w:webHidden/>
          </w:rPr>
          <w:fldChar w:fldCharType="begin"/>
        </w:r>
        <w:r w:rsidR="00C2765C">
          <w:rPr>
            <w:noProof/>
            <w:webHidden/>
          </w:rPr>
          <w:instrText xml:space="preserve"> PAGEREF _Toc117775915 \h </w:instrText>
        </w:r>
        <w:r w:rsidR="00C2765C">
          <w:rPr>
            <w:noProof/>
            <w:webHidden/>
          </w:rPr>
        </w:r>
        <w:r w:rsidR="00C2765C">
          <w:rPr>
            <w:noProof/>
            <w:webHidden/>
          </w:rPr>
          <w:fldChar w:fldCharType="separate"/>
        </w:r>
        <w:r w:rsidR="00B11BE3">
          <w:rPr>
            <w:noProof/>
            <w:webHidden/>
          </w:rPr>
          <w:t>5</w:t>
        </w:r>
        <w:r w:rsidR="00C2765C">
          <w:rPr>
            <w:noProof/>
            <w:webHidden/>
          </w:rPr>
          <w:fldChar w:fldCharType="end"/>
        </w:r>
      </w:hyperlink>
    </w:p>
    <w:p w14:paraId="5D744D65" w14:textId="0C058B31" w:rsidR="00C2765C" w:rsidRDefault="00F82ECE">
      <w:pPr>
        <w:pStyle w:val="TOC1"/>
        <w:rPr>
          <w:rFonts w:asciiTheme="minorHAnsi" w:eastAsiaTheme="minorEastAsia" w:hAnsiTheme="minorHAnsi" w:cstheme="minorBidi"/>
          <w:noProof/>
          <w:sz w:val="22"/>
          <w:szCs w:val="22"/>
          <w:lang w:eastAsia="fr-FR"/>
        </w:rPr>
      </w:pPr>
      <w:hyperlink w:anchor="_Toc117775916" w:history="1">
        <w:r w:rsidR="00C2765C" w:rsidRPr="00FE7404">
          <w:rPr>
            <w:rStyle w:val="Hyperlink"/>
            <w:noProof/>
          </w:rPr>
          <w:t>Statut des conventions internationales du travail dont l’abrogation est proposée</w:t>
        </w:r>
        <w:r w:rsidR="00C2765C">
          <w:rPr>
            <w:noProof/>
            <w:webHidden/>
          </w:rPr>
          <w:tab/>
        </w:r>
        <w:r w:rsidR="00C87AD6">
          <w:rPr>
            <w:noProof/>
            <w:webHidden/>
          </w:rPr>
          <w:tab/>
        </w:r>
        <w:r w:rsidR="00C2765C">
          <w:rPr>
            <w:noProof/>
            <w:webHidden/>
          </w:rPr>
          <w:fldChar w:fldCharType="begin"/>
        </w:r>
        <w:r w:rsidR="00C2765C">
          <w:rPr>
            <w:noProof/>
            <w:webHidden/>
          </w:rPr>
          <w:instrText xml:space="preserve"> PAGEREF _Toc117775916 \h </w:instrText>
        </w:r>
        <w:r w:rsidR="00C2765C">
          <w:rPr>
            <w:noProof/>
            <w:webHidden/>
          </w:rPr>
        </w:r>
        <w:r w:rsidR="00C2765C">
          <w:rPr>
            <w:noProof/>
            <w:webHidden/>
          </w:rPr>
          <w:fldChar w:fldCharType="separate"/>
        </w:r>
        <w:r w:rsidR="00B11BE3">
          <w:rPr>
            <w:noProof/>
            <w:webHidden/>
          </w:rPr>
          <w:t>7</w:t>
        </w:r>
        <w:r w:rsidR="00C2765C">
          <w:rPr>
            <w:noProof/>
            <w:webHidden/>
          </w:rPr>
          <w:fldChar w:fldCharType="end"/>
        </w:r>
      </w:hyperlink>
    </w:p>
    <w:p w14:paraId="51CA027E" w14:textId="28C3CE6A" w:rsidR="00C2765C" w:rsidRDefault="00F82ECE" w:rsidP="00C87AD6">
      <w:pPr>
        <w:pStyle w:val="TOC2"/>
        <w:tabs>
          <w:tab w:val="clear" w:pos="9072"/>
          <w:tab w:val="right" w:leader="dot" w:pos="8959"/>
        </w:tabs>
        <w:rPr>
          <w:rFonts w:asciiTheme="minorHAnsi" w:eastAsiaTheme="minorEastAsia" w:hAnsiTheme="minorHAnsi" w:cstheme="minorBidi"/>
          <w:noProof/>
          <w:sz w:val="22"/>
          <w:szCs w:val="22"/>
          <w:lang w:eastAsia="fr-FR"/>
        </w:rPr>
      </w:pPr>
      <w:hyperlink w:anchor="_Toc117775917" w:history="1">
        <w:r w:rsidR="00C2765C" w:rsidRPr="00FE7404">
          <w:rPr>
            <w:rStyle w:val="Hyperlink"/>
            <w:noProof/>
          </w:rPr>
          <w:t>Convention (n</w:t>
        </w:r>
        <w:r w:rsidR="00C2765C" w:rsidRPr="00FE7404">
          <w:rPr>
            <w:rStyle w:val="Hyperlink"/>
            <w:noProof/>
            <w:vertAlign w:val="superscript"/>
          </w:rPr>
          <w:t>o</w:t>
        </w:r>
        <w:r w:rsidR="00C2765C" w:rsidRPr="00FE7404">
          <w:rPr>
            <w:rStyle w:val="Hyperlink"/>
            <w:noProof/>
          </w:rPr>
          <w:t xml:space="preserve"> 45) des </w:t>
        </w:r>
        <w:r w:rsidR="00C2765C" w:rsidRPr="00C87AD6">
          <w:rPr>
            <w:rStyle w:val="Hyperlink"/>
            <w:noProof/>
            <w:lang w:val="es-ES"/>
          </w:rPr>
          <w:t>travaux</w:t>
        </w:r>
        <w:r w:rsidR="00C2765C" w:rsidRPr="00FE7404">
          <w:rPr>
            <w:rStyle w:val="Hyperlink"/>
            <w:noProof/>
          </w:rPr>
          <w:t xml:space="preserve"> souterrains (femmes), 1935</w:t>
        </w:r>
        <w:r w:rsidR="00C2765C">
          <w:rPr>
            <w:noProof/>
            <w:webHidden/>
          </w:rPr>
          <w:tab/>
        </w:r>
        <w:r w:rsidR="00C87AD6">
          <w:rPr>
            <w:noProof/>
            <w:webHidden/>
          </w:rPr>
          <w:tab/>
        </w:r>
        <w:r w:rsidR="00C2765C">
          <w:rPr>
            <w:noProof/>
            <w:webHidden/>
          </w:rPr>
          <w:fldChar w:fldCharType="begin"/>
        </w:r>
        <w:r w:rsidR="00C2765C">
          <w:rPr>
            <w:noProof/>
            <w:webHidden/>
          </w:rPr>
          <w:instrText xml:space="preserve"> PAGEREF _Toc117775917 \h </w:instrText>
        </w:r>
        <w:r w:rsidR="00C2765C">
          <w:rPr>
            <w:noProof/>
            <w:webHidden/>
          </w:rPr>
        </w:r>
        <w:r w:rsidR="00C2765C">
          <w:rPr>
            <w:noProof/>
            <w:webHidden/>
          </w:rPr>
          <w:fldChar w:fldCharType="separate"/>
        </w:r>
        <w:r w:rsidR="00B11BE3">
          <w:rPr>
            <w:noProof/>
            <w:webHidden/>
          </w:rPr>
          <w:t>7</w:t>
        </w:r>
        <w:r w:rsidR="00C2765C">
          <w:rPr>
            <w:noProof/>
            <w:webHidden/>
          </w:rPr>
          <w:fldChar w:fldCharType="end"/>
        </w:r>
      </w:hyperlink>
    </w:p>
    <w:p w14:paraId="4DCE7DB4" w14:textId="7837552D" w:rsidR="00C2765C" w:rsidRPr="00C87AD6" w:rsidRDefault="00F82ECE" w:rsidP="00C87AD6">
      <w:pPr>
        <w:pStyle w:val="TOC2"/>
        <w:tabs>
          <w:tab w:val="clear" w:pos="9072"/>
          <w:tab w:val="right" w:leader="dot" w:pos="8959"/>
        </w:tabs>
        <w:rPr>
          <w:rStyle w:val="Hyperlink"/>
          <w:lang w:val="es-ES"/>
        </w:rPr>
      </w:pPr>
      <w:hyperlink w:anchor="_Toc117775918" w:history="1">
        <w:r w:rsidR="00C2765C" w:rsidRPr="00C87AD6">
          <w:rPr>
            <w:rStyle w:val="Hyperlink"/>
            <w:noProof/>
            <w:lang w:val="es-ES"/>
          </w:rPr>
          <w:t>Convention (n</w:t>
        </w:r>
        <w:r w:rsidR="00C2765C" w:rsidRPr="006824D5">
          <w:rPr>
            <w:rStyle w:val="Hyperlink"/>
            <w:noProof/>
            <w:vertAlign w:val="superscript"/>
            <w:lang w:val="es-ES"/>
          </w:rPr>
          <w:t>o</w:t>
        </w:r>
        <w:r w:rsidR="00C2765C" w:rsidRPr="00C87AD6">
          <w:rPr>
            <w:rStyle w:val="Hyperlink"/>
            <w:noProof/>
            <w:lang w:val="es-ES"/>
          </w:rPr>
          <w:t> 62) concernant les prescriptions de sécurité (bâtiment), 1937</w:t>
        </w:r>
        <w:r w:rsidR="00C2765C" w:rsidRPr="00C87AD6">
          <w:rPr>
            <w:rStyle w:val="Hyperlink"/>
            <w:webHidden/>
            <w:lang w:val="es-ES"/>
          </w:rPr>
          <w:tab/>
        </w:r>
        <w:r w:rsidR="00C87AD6" w:rsidRPr="00C87AD6">
          <w:rPr>
            <w:rStyle w:val="Hyperlink"/>
            <w:webHidden/>
            <w:lang w:val="es-ES"/>
          </w:rPr>
          <w:tab/>
        </w:r>
        <w:r w:rsidR="00C2765C" w:rsidRPr="00C87AD6">
          <w:rPr>
            <w:rStyle w:val="Hyperlink"/>
            <w:webHidden/>
            <w:lang w:val="es-ES"/>
          </w:rPr>
          <w:fldChar w:fldCharType="begin"/>
        </w:r>
        <w:r w:rsidR="00C2765C" w:rsidRPr="00C87AD6">
          <w:rPr>
            <w:rStyle w:val="Hyperlink"/>
            <w:webHidden/>
            <w:lang w:val="es-ES"/>
          </w:rPr>
          <w:instrText xml:space="preserve"> PAGEREF _Toc117775918 \h </w:instrText>
        </w:r>
        <w:r w:rsidR="00C2765C" w:rsidRPr="00C87AD6">
          <w:rPr>
            <w:rStyle w:val="Hyperlink"/>
            <w:webHidden/>
            <w:lang w:val="es-ES"/>
          </w:rPr>
        </w:r>
        <w:r w:rsidR="00C2765C" w:rsidRPr="00C87AD6">
          <w:rPr>
            <w:rStyle w:val="Hyperlink"/>
            <w:webHidden/>
            <w:lang w:val="es-ES"/>
          </w:rPr>
          <w:fldChar w:fldCharType="separate"/>
        </w:r>
        <w:r w:rsidR="00B11BE3">
          <w:rPr>
            <w:rStyle w:val="Hyperlink"/>
            <w:noProof/>
            <w:webHidden/>
            <w:lang w:val="es-ES"/>
          </w:rPr>
          <w:t>7</w:t>
        </w:r>
        <w:r w:rsidR="00C2765C" w:rsidRPr="00C87AD6">
          <w:rPr>
            <w:rStyle w:val="Hyperlink"/>
            <w:webHidden/>
            <w:lang w:val="es-ES"/>
          </w:rPr>
          <w:fldChar w:fldCharType="end"/>
        </w:r>
      </w:hyperlink>
    </w:p>
    <w:p w14:paraId="05B94BBE" w14:textId="08EB2802" w:rsidR="00C2765C" w:rsidRPr="00C87AD6" w:rsidRDefault="00F82ECE" w:rsidP="00C87AD6">
      <w:pPr>
        <w:pStyle w:val="TOC2"/>
        <w:tabs>
          <w:tab w:val="clear" w:pos="9072"/>
          <w:tab w:val="right" w:leader="dot" w:pos="8959"/>
        </w:tabs>
        <w:rPr>
          <w:rStyle w:val="Hyperlink"/>
          <w:lang w:val="es-ES"/>
        </w:rPr>
      </w:pPr>
      <w:hyperlink w:anchor="_Toc117775919" w:history="1">
        <w:r w:rsidR="00C2765C" w:rsidRPr="00C87AD6">
          <w:rPr>
            <w:rStyle w:val="Hyperlink"/>
            <w:noProof/>
            <w:lang w:val="es-ES"/>
          </w:rPr>
          <w:t>Convention (n</w:t>
        </w:r>
        <w:r w:rsidR="00C2765C" w:rsidRPr="006824D5">
          <w:rPr>
            <w:rStyle w:val="Hyperlink"/>
            <w:noProof/>
            <w:vertAlign w:val="superscript"/>
            <w:lang w:val="es-ES"/>
          </w:rPr>
          <w:t>o</w:t>
        </w:r>
        <w:r w:rsidR="00C2765C" w:rsidRPr="00C87AD6">
          <w:rPr>
            <w:rStyle w:val="Hyperlink"/>
            <w:noProof/>
            <w:lang w:val="es-ES"/>
          </w:rPr>
          <w:t xml:space="preserve"> 63) concernant les statistiques des salaires et des heures </w:t>
        </w:r>
        <w:r w:rsidR="00C87AD6">
          <w:rPr>
            <w:rStyle w:val="Hyperlink"/>
            <w:noProof/>
            <w:lang w:val="es-ES"/>
          </w:rPr>
          <w:br/>
        </w:r>
        <w:r w:rsidR="00C2765C" w:rsidRPr="00C87AD6">
          <w:rPr>
            <w:rStyle w:val="Hyperlink"/>
            <w:noProof/>
            <w:lang w:val="es-ES"/>
          </w:rPr>
          <w:t>de travail, 1938</w:t>
        </w:r>
        <w:r w:rsidR="00C2765C" w:rsidRPr="00C87AD6">
          <w:rPr>
            <w:rStyle w:val="Hyperlink"/>
            <w:webHidden/>
            <w:lang w:val="es-ES"/>
          </w:rPr>
          <w:tab/>
        </w:r>
        <w:r w:rsidR="00C87AD6" w:rsidRPr="00C87AD6">
          <w:rPr>
            <w:rStyle w:val="Hyperlink"/>
            <w:webHidden/>
            <w:lang w:val="es-ES"/>
          </w:rPr>
          <w:tab/>
        </w:r>
        <w:r w:rsidR="00C2765C" w:rsidRPr="00C87AD6">
          <w:rPr>
            <w:rStyle w:val="Hyperlink"/>
            <w:webHidden/>
            <w:lang w:val="es-ES"/>
          </w:rPr>
          <w:fldChar w:fldCharType="begin"/>
        </w:r>
        <w:r w:rsidR="00C2765C" w:rsidRPr="00C87AD6">
          <w:rPr>
            <w:rStyle w:val="Hyperlink"/>
            <w:webHidden/>
            <w:lang w:val="es-ES"/>
          </w:rPr>
          <w:instrText xml:space="preserve"> PAGEREF _Toc117775919 \h </w:instrText>
        </w:r>
        <w:r w:rsidR="00C2765C" w:rsidRPr="00C87AD6">
          <w:rPr>
            <w:rStyle w:val="Hyperlink"/>
            <w:webHidden/>
            <w:lang w:val="es-ES"/>
          </w:rPr>
        </w:r>
        <w:r w:rsidR="00C2765C" w:rsidRPr="00C87AD6">
          <w:rPr>
            <w:rStyle w:val="Hyperlink"/>
            <w:webHidden/>
            <w:lang w:val="es-ES"/>
          </w:rPr>
          <w:fldChar w:fldCharType="separate"/>
        </w:r>
        <w:r w:rsidR="00B11BE3">
          <w:rPr>
            <w:rStyle w:val="Hyperlink"/>
            <w:noProof/>
            <w:webHidden/>
            <w:lang w:val="es-ES"/>
          </w:rPr>
          <w:t>8</w:t>
        </w:r>
        <w:r w:rsidR="00C2765C" w:rsidRPr="00C87AD6">
          <w:rPr>
            <w:rStyle w:val="Hyperlink"/>
            <w:webHidden/>
            <w:lang w:val="es-ES"/>
          </w:rPr>
          <w:fldChar w:fldCharType="end"/>
        </w:r>
      </w:hyperlink>
    </w:p>
    <w:p w14:paraId="309B7A56" w14:textId="4F7FA103" w:rsidR="00C2765C" w:rsidRPr="00C87AD6" w:rsidRDefault="00F82ECE" w:rsidP="00C87AD6">
      <w:pPr>
        <w:pStyle w:val="TOC2"/>
        <w:tabs>
          <w:tab w:val="clear" w:pos="9072"/>
          <w:tab w:val="right" w:leader="dot" w:pos="8959"/>
        </w:tabs>
        <w:rPr>
          <w:rStyle w:val="Hyperlink"/>
          <w:lang w:val="es-ES"/>
        </w:rPr>
      </w:pPr>
      <w:hyperlink w:anchor="_Toc117775920" w:history="1">
        <w:r w:rsidR="00C2765C" w:rsidRPr="00C87AD6">
          <w:rPr>
            <w:rStyle w:val="Hyperlink"/>
            <w:noProof/>
            <w:lang w:val="es-ES"/>
          </w:rPr>
          <w:t>Convention (n</w:t>
        </w:r>
        <w:r w:rsidR="00C2765C" w:rsidRPr="006824D5">
          <w:rPr>
            <w:rStyle w:val="Hyperlink"/>
            <w:noProof/>
            <w:vertAlign w:val="superscript"/>
            <w:lang w:val="es-ES"/>
          </w:rPr>
          <w:t>o</w:t>
        </w:r>
        <w:r w:rsidR="00C2765C" w:rsidRPr="00C87AD6">
          <w:rPr>
            <w:rStyle w:val="Hyperlink"/>
            <w:noProof/>
            <w:lang w:val="es-ES"/>
          </w:rPr>
          <w:t> 85) sur l’inspection du travail (territoires non métropolitains), 1947</w:t>
        </w:r>
        <w:r w:rsidR="00C2765C" w:rsidRPr="00C87AD6">
          <w:rPr>
            <w:rStyle w:val="Hyperlink"/>
            <w:webHidden/>
            <w:lang w:val="es-ES"/>
          </w:rPr>
          <w:tab/>
        </w:r>
        <w:r w:rsidR="00C87AD6" w:rsidRPr="00C87AD6">
          <w:rPr>
            <w:rStyle w:val="Hyperlink"/>
            <w:webHidden/>
            <w:lang w:val="es-ES"/>
          </w:rPr>
          <w:tab/>
        </w:r>
        <w:r w:rsidR="00C2765C" w:rsidRPr="00C87AD6">
          <w:rPr>
            <w:rStyle w:val="Hyperlink"/>
            <w:webHidden/>
            <w:lang w:val="es-ES"/>
          </w:rPr>
          <w:fldChar w:fldCharType="begin"/>
        </w:r>
        <w:r w:rsidR="00C2765C" w:rsidRPr="00C87AD6">
          <w:rPr>
            <w:rStyle w:val="Hyperlink"/>
            <w:webHidden/>
            <w:lang w:val="es-ES"/>
          </w:rPr>
          <w:instrText xml:space="preserve"> PAGEREF _Toc117775920 \h </w:instrText>
        </w:r>
        <w:r w:rsidR="00C2765C" w:rsidRPr="00C87AD6">
          <w:rPr>
            <w:rStyle w:val="Hyperlink"/>
            <w:webHidden/>
            <w:lang w:val="es-ES"/>
          </w:rPr>
        </w:r>
        <w:r w:rsidR="00C2765C" w:rsidRPr="00C87AD6">
          <w:rPr>
            <w:rStyle w:val="Hyperlink"/>
            <w:webHidden/>
            <w:lang w:val="es-ES"/>
          </w:rPr>
          <w:fldChar w:fldCharType="separate"/>
        </w:r>
        <w:r w:rsidR="00B11BE3">
          <w:rPr>
            <w:rStyle w:val="Hyperlink"/>
            <w:noProof/>
            <w:webHidden/>
            <w:lang w:val="es-ES"/>
          </w:rPr>
          <w:t>8</w:t>
        </w:r>
        <w:r w:rsidR="00C2765C" w:rsidRPr="00C87AD6">
          <w:rPr>
            <w:rStyle w:val="Hyperlink"/>
            <w:webHidden/>
            <w:lang w:val="es-ES"/>
          </w:rPr>
          <w:fldChar w:fldCharType="end"/>
        </w:r>
      </w:hyperlink>
    </w:p>
    <w:p w14:paraId="57B10590" w14:textId="2FF19802" w:rsidR="00C2765C" w:rsidRDefault="00F82ECE">
      <w:pPr>
        <w:pStyle w:val="TOC1"/>
        <w:rPr>
          <w:rFonts w:asciiTheme="minorHAnsi" w:eastAsiaTheme="minorEastAsia" w:hAnsiTheme="minorHAnsi" w:cstheme="minorBidi"/>
          <w:noProof/>
          <w:sz w:val="22"/>
          <w:szCs w:val="22"/>
          <w:lang w:eastAsia="fr-FR"/>
        </w:rPr>
      </w:pPr>
      <w:hyperlink w:anchor="_Toc117775921" w:history="1">
        <w:r w:rsidR="00C2765C" w:rsidRPr="00FE7404">
          <w:rPr>
            <w:rStyle w:val="Hyperlink"/>
            <w:noProof/>
          </w:rPr>
          <w:t>Questionnaire</w:t>
        </w:r>
        <w:r w:rsidR="00C2765C">
          <w:rPr>
            <w:noProof/>
            <w:webHidden/>
          </w:rPr>
          <w:tab/>
        </w:r>
        <w:r w:rsidR="00C87AD6">
          <w:rPr>
            <w:noProof/>
            <w:webHidden/>
          </w:rPr>
          <w:tab/>
        </w:r>
        <w:r w:rsidR="00C2765C">
          <w:rPr>
            <w:noProof/>
            <w:webHidden/>
          </w:rPr>
          <w:fldChar w:fldCharType="begin"/>
        </w:r>
        <w:r w:rsidR="00C2765C">
          <w:rPr>
            <w:noProof/>
            <w:webHidden/>
          </w:rPr>
          <w:instrText xml:space="preserve"> PAGEREF _Toc117775921 \h </w:instrText>
        </w:r>
        <w:r w:rsidR="00C2765C">
          <w:rPr>
            <w:noProof/>
            <w:webHidden/>
          </w:rPr>
        </w:r>
        <w:r w:rsidR="00C2765C">
          <w:rPr>
            <w:noProof/>
            <w:webHidden/>
          </w:rPr>
          <w:fldChar w:fldCharType="separate"/>
        </w:r>
        <w:r w:rsidR="00B11BE3">
          <w:rPr>
            <w:noProof/>
            <w:webHidden/>
          </w:rPr>
          <w:t>11</w:t>
        </w:r>
        <w:r w:rsidR="00C2765C">
          <w:rPr>
            <w:noProof/>
            <w:webHidden/>
          </w:rPr>
          <w:fldChar w:fldCharType="end"/>
        </w:r>
      </w:hyperlink>
    </w:p>
    <w:p w14:paraId="7C169FD6" w14:textId="3D2F5ABA" w:rsidR="002D2C77" w:rsidRPr="007171CB" w:rsidRDefault="00153DDA" w:rsidP="00E745A5">
      <w:pPr>
        <w:pStyle w:val="ReportPara"/>
      </w:pPr>
      <w:r w:rsidRPr="007171CB">
        <w:fldChar w:fldCharType="end"/>
      </w:r>
    </w:p>
    <w:p w14:paraId="0AFEC01E" w14:textId="77777777" w:rsidR="002D2C77" w:rsidRPr="007171CB" w:rsidRDefault="002D2C77" w:rsidP="00D63996">
      <w:pPr>
        <w:pStyle w:val="ReportPara"/>
      </w:pPr>
    </w:p>
    <w:p w14:paraId="6A1CFD9C" w14:textId="77777777" w:rsidR="0056345F" w:rsidRPr="007171CB" w:rsidRDefault="0056345F" w:rsidP="00D63996">
      <w:pPr>
        <w:pStyle w:val="ReportPara"/>
        <w:sectPr w:rsidR="0056345F" w:rsidRPr="007171CB" w:rsidSect="003A5000">
          <w:headerReference w:type="first" r:id="rId15"/>
          <w:type w:val="oddPage"/>
          <w:pgSz w:w="11906" w:h="16838" w:code="9"/>
          <w:pgMar w:top="2268" w:right="1134" w:bottom="964" w:left="1134" w:header="851" w:footer="680" w:gutter="0"/>
          <w:cols w:space="708"/>
          <w:titlePg/>
          <w:docGrid w:linePitch="360"/>
        </w:sectPr>
      </w:pPr>
    </w:p>
    <w:p w14:paraId="753A4B25" w14:textId="00BBB02A" w:rsidR="00D63996" w:rsidRDefault="005D73F3" w:rsidP="000D5894">
      <w:pPr>
        <w:pStyle w:val="ReportChapter"/>
        <w:rPr>
          <w:lang w:val="en-US"/>
        </w:rPr>
      </w:pPr>
      <w:bookmarkStart w:id="4" w:name="_Toc117775915"/>
      <w:r>
        <w:rPr>
          <w:lang w:val="en-US"/>
        </w:rPr>
        <w:lastRenderedPageBreak/>
        <w:t>Introduction</w:t>
      </w:r>
      <w:bookmarkEnd w:id="4"/>
    </w:p>
    <w:p w14:paraId="1D863F7E" w14:textId="734C3214" w:rsidR="005D73F3" w:rsidRDefault="005D73F3" w:rsidP="005D73F3">
      <w:pPr>
        <w:pStyle w:val="ReportParaNum"/>
      </w:pPr>
      <w:r>
        <w:t>À sa 343</w:t>
      </w:r>
      <w:r w:rsidRPr="005D73F3">
        <w:rPr>
          <w:vertAlign w:val="superscript"/>
        </w:rPr>
        <w:t>e</w:t>
      </w:r>
      <w:r>
        <w:t> session (novembre 2021), le Conseil d’administration du Bureau international du Travail a décidé d’inscrire à l’ordre du jour de la 112</w:t>
      </w:r>
      <w:r w:rsidRPr="005D73F3">
        <w:rPr>
          <w:vertAlign w:val="superscript"/>
        </w:rPr>
        <w:t>e</w:t>
      </w:r>
      <w:r>
        <w:t> session (2024) de la Conférence internationale du Travail une question concernant l’abrogation de quatre conventions, à savoir: la convention (n</w:t>
      </w:r>
      <w:r w:rsidR="00332B8C" w:rsidRPr="00332B8C">
        <w:rPr>
          <w:vertAlign w:val="superscript"/>
        </w:rPr>
        <w:t>o</w:t>
      </w:r>
      <w:r w:rsidR="00332B8C">
        <w:t> </w:t>
      </w:r>
      <w:r>
        <w:t>45) des travaux souterrains (femmes), 1935; la convention (n</w:t>
      </w:r>
      <w:r w:rsidR="00332B8C" w:rsidRPr="00332B8C">
        <w:rPr>
          <w:vertAlign w:val="superscript"/>
        </w:rPr>
        <w:t>o</w:t>
      </w:r>
      <w:r w:rsidR="00332B8C">
        <w:t> </w:t>
      </w:r>
      <w:r>
        <w:t>62) concernant les prescriptions de sécurité (bâtiment), 1937; la convention (n</w:t>
      </w:r>
      <w:r w:rsidR="00332B8C" w:rsidRPr="00332B8C">
        <w:rPr>
          <w:vertAlign w:val="superscript"/>
        </w:rPr>
        <w:t>o</w:t>
      </w:r>
      <w:r w:rsidR="00332B8C">
        <w:t> </w:t>
      </w:r>
      <w:r>
        <w:t>63) concernant les statistiques des salaires et des heures de travail, 1938; et la convention (n</w:t>
      </w:r>
      <w:r w:rsidR="00332B8C" w:rsidRPr="00332B8C">
        <w:rPr>
          <w:vertAlign w:val="superscript"/>
        </w:rPr>
        <w:t>o</w:t>
      </w:r>
      <w:r w:rsidR="00332B8C">
        <w:t> </w:t>
      </w:r>
      <w:r>
        <w:t>85) sur l’inspection du travail (territoires non métropolitains), 1947</w:t>
      </w:r>
      <w:r w:rsidR="00332B8C">
        <w:t> </w:t>
      </w:r>
      <w:r w:rsidR="00332B8C">
        <w:rPr>
          <w:rStyle w:val="FootnoteReference"/>
        </w:rPr>
        <w:footnoteReference w:id="1"/>
      </w:r>
      <w:r>
        <w:t>.</w:t>
      </w:r>
    </w:p>
    <w:p w14:paraId="423E8D3B" w14:textId="3A2815FF" w:rsidR="005D73F3" w:rsidRDefault="005D73F3" w:rsidP="005D73F3">
      <w:pPr>
        <w:pStyle w:val="ReportParaNum"/>
      </w:pPr>
      <w:r>
        <w:t xml:space="preserve">Le Conseil d’administration a pris cette décision en s’appuyant sur les recommandations formulées par </w:t>
      </w:r>
      <w:r w:rsidRPr="00C76128">
        <w:t>le Groupe de travail tripartite du mécanisme d’examen des normes (MEN)</w:t>
      </w:r>
      <w:r w:rsidR="00332B8C">
        <w:t> </w:t>
      </w:r>
      <w:r w:rsidR="00332B8C">
        <w:rPr>
          <w:rStyle w:val="FootnoteReference"/>
        </w:rPr>
        <w:footnoteReference w:id="2"/>
      </w:r>
      <w:r>
        <w:t xml:space="preserve"> à sa quatrième réunion, qui s’est tenue du 17 au 21</w:t>
      </w:r>
      <w:r w:rsidR="00332B8C">
        <w:t> </w:t>
      </w:r>
      <w:r>
        <w:t>septembre 2018</w:t>
      </w:r>
      <w:r w:rsidR="00332B8C">
        <w:t> </w:t>
      </w:r>
      <w:r w:rsidR="00332B8C">
        <w:rPr>
          <w:rStyle w:val="FootnoteReference"/>
        </w:rPr>
        <w:footnoteReference w:id="3"/>
      </w:r>
      <w:r>
        <w:t>.</w:t>
      </w:r>
    </w:p>
    <w:p w14:paraId="74BCDCB5" w14:textId="3123CC66" w:rsidR="005D73F3" w:rsidRDefault="005D73F3" w:rsidP="005D73F3">
      <w:pPr>
        <w:pStyle w:val="ReportParaNum"/>
      </w:pPr>
      <w:r>
        <w:t>Conformément au paragraphe</w:t>
      </w:r>
      <w:r w:rsidR="00332B8C">
        <w:t> </w:t>
      </w:r>
      <w:r>
        <w:t>9 de l’article</w:t>
      </w:r>
      <w:r w:rsidR="00332B8C">
        <w:t> </w:t>
      </w:r>
      <w:r>
        <w:t>19 de la Constitution de l’Organisation internationale du Travail</w:t>
      </w:r>
      <w:r w:rsidR="006824D5">
        <w:t xml:space="preserve"> (OIT)</w:t>
      </w:r>
      <w:r>
        <w:t>, la Conférence est habilitée, à la majorité des deux tiers des voix des délégués présents et sur recommandation du Conseil d’administration, à abroger une convention en vigueur s’il apparaît que celle-ci a perdu son objet ou qu’elle n’apporte plus de contribution utile à l’accomplissement des objectifs de l’Organisation. L’examen des propositions d’abrogation des conventions est une composante essentielle du mécanisme d’examen des normes dont le but est de garantir que l’OIT dispose d’un corpus de normes internationales du travail solide et à jour. Ce sera la cinquième fois que la Conférence internationale du Travail sera appelée à se prononcer sur l’abrogation possible de conventions internationales du travail. La procédure à suivre en cas d’abrogation ou de retrait de conventions et de recommandations est régie par l’article</w:t>
      </w:r>
      <w:r w:rsidR="006824D5">
        <w:t> </w:t>
      </w:r>
      <w:r>
        <w:t>52 du Règlement de la Conférence.</w:t>
      </w:r>
    </w:p>
    <w:p w14:paraId="0C6C0883" w14:textId="205D51FF" w:rsidR="005D73F3" w:rsidRDefault="005D73F3" w:rsidP="005D73F3">
      <w:pPr>
        <w:pStyle w:val="ReportParaNum"/>
      </w:pPr>
      <w:r>
        <w:t>Si la Conférence décide de les abroger, les instruments susmentionnés seront supprimés du corpus de normes de l’OIT et, par conséquent, les Membres qui ont ratifié ces conventions et qui sont toujours liés par elles n’auront plus l’obligation de présenter des rapports en application de l’article</w:t>
      </w:r>
      <w:r w:rsidR="00332B8C">
        <w:t> </w:t>
      </w:r>
      <w:r>
        <w:t>22 de la Constitution et ne pourront plus faire l’objet de réclamations (article</w:t>
      </w:r>
      <w:r w:rsidR="00332B8C">
        <w:t> </w:t>
      </w:r>
      <w:r>
        <w:t>24) ni de plaintes (article</w:t>
      </w:r>
      <w:r w:rsidR="00332B8C">
        <w:t> </w:t>
      </w:r>
      <w:r>
        <w:t xml:space="preserve">26) pour non-exécution de ces instruments. Les organes de contrôle de l’OIT, </w:t>
      </w:r>
      <w:r>
        <w:lastRenderedPageBreak/>
        <w:t>quant à eux, ne seront plus tenus d’examiner l’application desdites conventions, et le Bureau prendra les mesures nécessaires pour que les instruments abrogés ne soient plus reproduits dans aucun recueil de normes internationales du travail et pour que les nouveaux instruments, codes de conduite ou autres documents analogues n’y fassent plus référence</w:t>
      </w:r>
      <w:r w:rsidR="00332B8C">
        <w:t> </w:t>
      </w:r>
      <w:r w:rsidR="00332B8C">
        <w:rPr>
          <w:rStyle w:val="FootnoteReference"/>
        </w:rPr>
        <w:footnoteReference w:id="4"/>
      </w:r>
      <w:r>
        <w:t>.</w:t>
      </w:r>
    </w:p>
    <w:p w14:paraId="3B61E020" w14:textId="643C7F05" w:rsidR="005D73F3" w:rsidRDefault="005D73F3" w:rsidP="005D73F3">
      <w:pPr>
        <w:pStyle w:val="ReportParaNum"/>
      </w:pPr>
      <w:r>
        <w:t>Conformément à l’article</w:t>
      </w:r>
      <w:r w:rsidR="00332B8C">
        <w:t> </w:t>
      </w:r>
      <w:r>
        <w:t>52, paragraphe</w:t>
      </w:r>
      <w:r w:rsidR="00332B8C">
        <w:t> </w:t>
      </w:r>
      <w:r>
        <w:t xml:space="preserve">1, du Règlement de la Conférence, lorsqu’une question d’abrogation est inscrite à l’ordre du jour de la Conférence, le Bureau communique aux gouvernements, de telle manière qu’ils leur parviennent dix-huit mois au moins avant l’ouverture de la session de la Conférence à laquelle la question doit être discutée, un bref rapport ainsi qu’un questionnaire leur demandant d’indiquer, dans un délai de douze mois, leur position motivée au sujet de l’abrogation proposée, en fournissant les éléments d’information pertinents. Les gouvernements sont priés de consulter </w:t>
      </w:r>
      <w:r w:rsidRPr="00C80CF5">
        <w:t>les organisations d’employeurs et de travailleurs les plus représentatives</w:t>
      </w:r>
      <w:r>
        <w:t xml:space="preserve"> avant d’arrêter définitivement leurs réponses. Sur la base des réponses reçues, le Bureau rédige un rapport contenant une proposition définitive, qui est transmis aux gouvernements quatre mois avant l’ouverture de la session de la Conférence à laquelle la question doit être discutée.</w:t>
      </w:r>
    </w:p>
    <w:tbl>
      <w:tblPr>
        <w:tblW w:w="9072" w:type="dxa"/>
        <w:tblInd w:w="567" w:type="dxa"/>
        <w:shd w:val="clear" w:color="auto" w:fill="EBF5FD"/>
        <w:tblCellMar>
          <w:top w:w="85" w:type="dxa"/>
          <w:left w:w="142" w:type="dxa"/>
          <w:bottom w:w="85" w:type="dxa"/>
          <w:right w:w="142" w:type="dxa"/>
        </w:tblCellMar>
        <w:tblLook w:val="04A0" w:firstRow="1" w:lastRow="0" w:firstColumn="1" w:lastColumn="0" w:noHBand="0" w:noVBand="1"/>
      </w:tblPr>
      <w:tblGrid>
        <w:gridCol w:w="9072"/>
      </w:tblGrid>
      <w:tr w:rsidR="00415D00" w:rsidRPr="00486B4D" w14:paraId="647BBBD8" w14:textId="77777777" w:rsidTr="004A198D">
        <w:tc>
          <w:tcPr>
            <w:tcW w:w="9072" w:type="dxa"/>
            <w:shd w:val="clear" w:color="auto" w:fill="EBF5FD"/>
          </w:tcPr>
          <w:p w14:paraId="6AF573F0" w14:textId="301CD3DF" w:rsidR="00415D00" w:rsidRDefault="00415D00" w:rsidP="00415D00">
            <w:pPr>
              <w:pStyle w:val="BoxBody"/>
            </w:pPr>
            <w:r>
              <w:t>Sachant que le Conseil d’administration a inscrit cette question à l’ordre du jour de la 112</w:t>
            </w:r>
            <w:r w:rsidRPr="00C83557">
              <w:rPr>
                <w:vertAlign w:val="superscript"/>
              </w:rPr>
              <w:t>e</w:t>
            </w:r>
            <w:r w:rsidR="00C83557">
              <w:t> </w:t>
            </w:r>
            <w:r>
              <w:t xml:space="preserve">session (2024) de la Conférence internationale du Travail, les gouvernements sont invités, après avoir dûment consulté les organisations d’employeurs et de travailleurs les plus représentatives, à faire parvenir au Bureau leurs réponses au questionnaire ci-après </w:t>
            </w:r>
            <w:r w:rsidRPr="00415D00">
              <w:rPr>
                <w:b/>
                <w:bCs/>
              </w:rPr>
              <w:t>le 30</w:t>
            </w:r>
            <w:r>
              <w:rPr>
                <w:b/>
                <w:bCs/>
              </w:rPr>
              <w:t> </w:t>
            </w:r>
            <w:r w:rsidRPr="00415D00">
              <w:rPr>
                <w:b/>
                <w:bCs/>
              </w:rPr>
              <w:t>novembre 2023 au plus tard</w:t>
            </w:r>
            <w:r>
              <w:t>.</w:t>
            </w:r>
          </w:p>
          <w:p w14:paraId="2F8034F1" w14:textId="4EE30C40" w:rsidR="00415D00" w:rsidRPr="007171CB" w:rsidRDefault="00415D00" w:rsidP="00415D00">
            <w:pPr>
              <w:pStyle w:val="BoxBody"/>
            </w:pPr>
            <w:r>
              <w:t xml:space="preserve">Le présent rapport, incluant le questionnaire, est en ligne sur le </w:t>
            </w:r>
            <w:hyperlink r:id="rId16" w:history="1">
              <w:r w:rsidRPr="00415D00">
                <w:rPr>
                  <w:rStyle w:val="ReportHyperlink"/>
                </w:rPr>
                <w:t>site Web de l’OIT</w:t>
              </w:r>
            </w:hyperlink>
            <w:r>
              <w:t>. Les gouvernements sont invités, dans la mesure du possible, à remplir le questionnaire sous forme électronique et à transmettre les réponses par voie électronique également au Bureau du Conseiller juridique (</w:t>
            </w:r>
            <w:hyperlink r:id="rId17" w:history="1">
              <w:r w:rsidRPr="005B79AA">
                <w:rPr>
                  <w:rStyle w:val="ReportHyperlink"/>
                </w:rPr>
                <w:t>jur@ilo.org</w:t>
              </w:r>
            </w:hyperlink>
            <w:r>
              <w:t>).</w:t>
            </w:r>
          </w:p>
        </w:tc>
      </w:tr>
      <w:tr w:rsidR="00415D00" w:rsidRPr="00486B4D" w14:paraId="75DC7E6B" w14:textId="77777777" w:rsidTr="004A198D">
        <w:tc>
          <w:tcPr>
            <w:tcW w:w="9072" w:type="dxa"/>
            <w:shd w:val="clear" w:color="auto" w:fill="auto"/>
          </w:tcPr>
          <w:p w14:paraId="79E23371" w14:textId="77777777" w:rsidR="00415D00" w:rsidRPr="007171CB" w:rsidRDefault="00415D00" w:rsidP="004A198D">
            <w:pPr>
              <w:pStyle w:val="TableBoxrowempty"/>
              <w:rPr>
                <w:b/>
              </w:rPr>
            </w:pPr>
          </w:p>
        </w:tc>
      </w:tr>
    </w:tbl>
    <w:p w14:paraId="5E33CAFC" w14:textId="77777777" w:rsidR="00E62AE6" w:rsidRDefault="00E62AE6" w:rsidP="00E62AE6">
      <w:pPr>
        <w:pStyle w:val="ReportPara"/>
        <w:sectPr w:rsidR="00E62AE6" w:rsidSect="00C5365E">
          <w:type w:val="oddPage"/>
          <w:pgSz w:w="11906" w:h="16838" w:code="9"/>
          <w:pgMar w:top="2268" w:right="1134" w:bottom="964" w:left="1134" w:header="851" w:footer="680" w:gutter="0"/>
          <w:cols w:space="284"/>
          <w:titlePg/>
          <w:docGrid w:linePitch="360"/>
          <w15:footnoteColumns w:val="1"/>
        </w:sectPr>
      </w:pPr>
    </w:p>
    <w:p w14:paraId="073F31FF" w14:textId="7E9315F8" w:rsidR="00A76EB4" w:rsidRDefault="00A76EB4" w:rsidP="00A76EB4">
      <w:pPr>
        <w:pStyle w:val="ReportChapter"/>
      </w:pPr>
      <w:bookmarkStart w:id="5" w:name="_Toc117775916"/>
      <w:r>
        <w:lastRenderedPageBreak/>
        <w:t xml:space="preserve">Statut des </w:t>
      </w:r>
      <w:r w:rsidRPr="00A76EB4">
        <w:t>conventions</w:t>
      </w:r>
      <w:r>
        <w:t xml:space="preserve"> internationales du travail</w:t>
      </w:r>
      <w:r w:rsidR="00660647">
        <w:t xml:space="preserve"> </w:t>
      </w:r>
      <w:r>
        <w:t>dont</w:t>
      </w:r>
      <w:r w:rsidR="00660647">
        <w:t> </w:t>
      </w:r>
      <w:r>
        <w:t>l’abrogation est proposée</w:t>
      </w:r>
      <w:bookmarkEnd w:id="5"/>
      <w:r>
        <w:t xml:space="preserve"> </w:t>
      </w:r>
    </w:p>
    <w:p w14:paraId="1E6DC43A" w14:textId="01C7131D" w:rsidR="00A76EB4" w:rsidRDefault="00A76EB4" w:rsidP="00E62AE6">
      <w:pPr>
        <w:pStyle w:val="ReportHeading1"/>
      </w:pPr>
      <w:bookmarkStart w:id="6" w:name="_Toc117775917"/>
      <w:r>
        <w:t>Convention (n</w:t>
      </w:r>
      <w:r w:rsidRPr="00A76EB4">
        <w:rPr>
          <w:vertAlign w:val="superscript"/>
        </w:rPr>
        <w:t>o</w:t>
      </w:r>
      <w:r>
        <w:t> 45) des travaux souterrains (femmes), 1935</w:t>
      </w:r>
      <w:bookmarkEnd w:id="6"/>
    </w:p>
    <w:p w14:paraId="740DAE92" w14:textId="1B6E71EE" w:rsidR="00A76EB4" w:rsidRDefault="00A76EB4" w:rsidP="00A76EB4">
      <w:pPr>
        <w:pStyle w:val="ReportParaNum"/>
      </w:pPr>
      <w:r>
        <w:t>La convention n</w:t>
      </w:r>
      <w:r w:rsidRPr="00A76EB4">
        <w:rPr>
          <w:vertAlign w:val="superscript"/>
        </w:rPr>
        <w:t>o</w:t>
      </w:r>
      <w:r>
        <w:t> 45 a été adoptée en 1935. Elle interdit d’employer des femmes aux travaux souterrains dans les mines, à quelques exceptions près.</w:t>
      </w:r>
    </w:p>
    <w:p w14:paraId="4BEF1E82" w14:textId="0859A592" w:rsidR="00A76EB4" w:rsidRDefault="00A76EB4" w:rsidP="00A76EB4">
      <w:pPr>
        <w:pStyle w:val="ReportParaNum"/>
      </w:pPr>
      <w:r>
        <w:t>La convention n</w:t>
      </w:r>
      <w:r w:rsidRPr="00EA0EB8">
        <w:rPr>
          <w:vertAlign w:val="superscript"/>
        </w:rPr>
        <w:t>o</w:t>
      </w:r>
      <w:r>
        <w:t> 45 a été ratifiée par 98</w:t>
      </w:r>
      <w:r w:rsidR="00EA0EB8">
        <w:t> </w:t>
      </w:r>
      <w:r>
        <w:t>États Membres puis dénoncée par la suite par 30</w:t>
      </w:r>
      <w:r w:rsidR="005B1673">
        <w:t> </w:t>
      </w:r>
      <w:r>
        <w:t>d’entre eux. À ce jour, 68</w:t>
      </w:r>
      <w:r w:rsidR="00EA0EB8">
        <w:t> </w:t>
      </w:r>
      <w:r>
        <w:t>États sont encore liés par cette convention, qui n’est pas compatible avec les principes fondamentaux d’égalité et de non-discrimination au travail et ne correspond pas non plus à l’approche normative actuelle de la sécurité et la santé au travail. La</w:t>
      </w:r>
      <w:r w:rsidR="00EA0EB8">
        <w:t xml:space="preserve"> convention (n</w:t>
      </w:r>
      <w:r w:rsidR="00EA0EB8" w:rsidRPr="00EA0EB8">
        <w:rPr>
          <w:vertAlign w:val="superscript"/>
        </w:rPr>
        <w:t>o</w:t>
      </w:r>
      <w:r w:rsidR="00EA0EB8">
        <w:t> 176) sur la sécurité et la santé dans les mines, 1995</w:t>
      </w:r>
      <w:r>
        <w:t>, a été élaborée au vu des lacunes existant dans les normes protégeant les travailleurs du secteur minier, en ne mettant plus l’accent sur une catégorie particulière de travailleurs mais sur la protection de l’ensemble des travailleurs des mines. Elle met en avant l’évaluation et la gestion des risques et prévoit des mesures de prévention et de protection des mineurs, quel que soit leur sexe, qu’ils travaillent dans des mines à ciel ouvert ou dans des mines souterraines. La convention n</w:t>
      </w:r>
      <w:r w:rsidR="00EA0EB8" w:rsidRPr="00EA0EB8">
        <w:rPr>
          <w:vertAlign w:val="superscript"/>
        </w:rPr>
        <w:t>o</w:t>
      </w:r>
      <w:r w:rsidR="00EA0EB8">
        <w:t> </w:t>
      </w:r>
      <w:r>
        <w:t>176 suit l’approche normative moderne de la sécurité et la santé au travail établie par la</w:t>
      </w:r>
      <w:r w:rsidR="00EA0EB8">
        <w:t xml:space="preserve"> convention (n</w:t>
      </w:r>
      <w:r w:rsidR="00EA0EB8" w:rsidRPr="00EA0EB8">
        <w:rPr>
          <w:vertAlign w:val="superscript"/>
        </w:rPr>
        <w:t>o</w:t>
      </w:r>
      <w:r w:rsidR="00EA0EB8">
        <w:t> 155) sur la sécurité et la santé des travailleurs, 1981</w:t>
      </w:r>
      <w:r>
        <w:t xml:space="preserve">, et la </w:t>
      </w:r>
      <w:r w:rsidR="00EA0EB8">
        <w:t>convention (n</w:t>
      </w:r>
      <w:r w:rsidR="00EA0EB8" w:rsidRPr="00EA0EB8">
        <w:rPr>
          <w:vertAlign w:val="superscript"/>
        </w:rPr>
        <w:t>o</w:t>
      </w:r>
      <w:r w:rsidR="00EA0EB8">
        <w:t> 187) sur le cadre promotionnel pour la sécurité et la santé au travail, 2006,</w:t>
      </w:r>
      <w:r>
        <w:t xml:space="preserve"> qui ont été récemment élevées au titre de conventions fondamentales au sens de la Déclaration de l’OIT relative aux principes et droits fondamentaux au travail (1998), telle qu’amendée en 2022</w:t>
      </w:r>
      <w:r w:rsidR="00EA0EB8">
        <w:t> </w:t>
      </w:r>
      <w:r w:rsidR="00EA0EB8">
        <w:rPr>
          <w:rStyle w:val="FootnoteReference"/>
        </w:rPr>
        <w:footnoteReference w:id="5"/>
      </w:r>
      <w:r>
        <w:t>. À sa quatrième réunion en 2018, le Groupe de travail tripartite du MEN a recommandé que la convention n</w:t>
      </w:r>
      <w:r w:rsidR="00EA0EB8" w:rsidRPr="00EA0EB8">
        <w:rPr>
          <w:vertAlign w:val="superscript"/>
        </w:rPr>
        <w:t>o</w:t>
      </w:r>
      <w:r w:rsidR="00EA0EB8">
        <w:t> </w:t>
      </w:r>
      <w:r>
        <w:t>45 soit classée dans la catégorie des «normes dépassées» et proposé son abrogation</w:t>
      </w:r>
      <w:r w:rsidR="00EA0EB8">
        <w:t> </w:t>
      </w:r>
      <w:r w:rsidR="00EA0EB8">
        <w:rPr>
          <w:rStyle w:val="FootnoteReference"/>
        </w:rPr>
        <w:footnoteReference w:id="6"/>
      </w:r>
      <w:r>
        <w:t>.</w:t>
      </w:r>
    </w:p>
    <w:p w14:paraId="2F724AA7" w14:textId="6B5DB8EF" w:rsidR="00A76EB4" w:rsidRDefault="00A76EB4" w:rsidP="00E62AE6">
      <w:pPr>
        <w:pStyle w:val="ReportHeading1"/>
      </w:pPr>
      <w:bookmarkStart w:id="7" w:name="_Toc117775918"/>
      <w:r>
        <w:t>Convention</w:t>
      </w:r>
      <w:r w:rsidR="00EA0EB8">
        <w:t xml:space="preserve"> (n</w:t>
      </w:r>
      <w:r w:rsidR="00EA0EB8" w:rsidRPr="00EA0EB8">
        <w:rPr>
          <w:vertAlign w:val="superscript"/>
        </w:rPr>
        <w:t>o</w:t>
      </w:r>
      <w:r w:rsidR="00EA0EB8">
        <w:t xml:space="preserve"> 62) concernant les prescriptions de </w:t>
      </w:r>
      <w:r w:rsidR="00EA0EB8" w:rsidRPr="00E62AE6">
        <w:t>sécurité (bâtiment), 1937</w:t>
      </w:r>
      <w:bookmarkEnd w:id="7"/>
    </w:p>
    <w:p w14:paraId="4EA6B1F3" w14:textId="60F95992" w:rsidR="00A76EB4" w:rsidRDefault="00A76EB4" w:rsidP="00A76EB4">
      <w:pPr>
        <w:pStyle w:val="ReportParaNum"/>
      </w:pPr>
      <w:r>
        <w:t>La convention n</w:t>
      </w:r>
      <w:r w:rsidR="00EA0EB8" w:rsidRPr="00EA0EB8">
        <w:rPr>
          <w:vertAlign w:val="superscript"/>
        </w:rPr>
        <w:t>o</w:t>
      </w:r>
      <w:r w:rsidR="00EA0EB8">
        <w:t> </w:t>
      </w:r>
      <w:r>
        <w:t>62, adoptée en 1937, contient des prescriptions de sécurité dans le secteur du bâtiment et porte essentiellement sur les échafaudages et les appareils de levage. Elle a été révisée par la</w:t>
      </w:r>
      <w:r w:rsidR="00EA0EB8">
        <w:t xml:space="preserve"> convention (n</w:t>
      </w:r>
      <w:r w:rsidR="00EA0EB8" w:rsidRPr="00EA0EB8">
        <w:rPr>
          <w:vertAlign w:val="superscript"/>
        </w:rPr>
        <w:t>o</w:t>
      </w:r>
      <w:r w:rsidR="00EA0EB8">
        <w:t> 167) sur la sécurité et la santé dans la construction, 1988</w:t>
      </w:r>
      <w:r>
        <w:t>.</w:t>
      </w:r>
    </w:p>
    <w:p w14:paraId="6C05837A" w14:textId="27D74E63" w:rsidR="00A76EB4" w:rsidRDefault="00A76EB4" w:rsidP="00A76EB4">
      <w:pPr>
        <w:pStyle w:val="ReportParaNum"/>
      </w:pPr>
      <w:r>
        <w:t>La convention n</w:t>
      </w:r>
      <w:r w:rsidR="00EA0EB8" w:rsidRPr="00EA0EB8">
        <w:rPr>
          <w:vertAlign w:val="superscript"/>
        </w:rPr>
        <w:t>o</w:t>
      </w:r>
      <w:r w:rsidR="00EA0EB8">
        <w:t> </w:t>
      </w:r>
      <w:r>
        <w:t>62 a été ratifiée par 30</w:t>
      </w:r>
      <w:r w:rsidR="00EA0EB8">
        <w:t> </w:t>
      </w:r>
      <w:r>
        <w:t>États Membres puis dénoncée par 11</w:t>
      </w:r>
      <w:r w:rsidR="00EA0EB8">
        <w:t> </w:t>
      </w:r>
      <w:r>
        <w:t>d’entre eux en conséquence de leur ratification de la convention n</w:t>
      </w:r>
      <w:r w:rsidR="00EA0EB8" w:rsidRPr="00EA0EB8">
        <w:rPr>
          <w:vertAlign w:val="superscript"/>
        </w:rPr>
        <w:t>o</w:t>
      </w:r>
      <w:r w:rsidR="00EA0EB8">
        <w:t> </w:t>
      </w:r>
      <w:r>
        <w:t>167. Elle a été fermée à toute nouvelle ratification depuis janvier 1991, date de l’entrée en vigueur de la convention n</w:t>
      </w:r>
      <w:r w:rsidR="00EA0EB8" w:rsidRPr="00EA0EB8">
        <w:rPr>
          <w:vertAlign w:val="superscript"/>
        </w:rPr>
        <w:t>o</w:t>
      </w:r>
      <w:r w:rsidR="00EA0EB8">
        <w:t> </w:t>
      </w:r>
      <w:r>
        <w:t>167. Cette dernière tient compte des besoins interdépendants du bâtiment et du génie civil dans la construction, en appliquant des dispositions plus modernes à la construction dans son ensemble et en reflétant les considérables changements que la nature et l’échelle des travaux de construction ont connus. Elle traduit une approche largement conforme à l’approche normative moderne en matière de sécurité et de santé au travail</w:t>
      </w:r>
      <w:r w:rsidR="00794088">
        <w:t>,</w:t>
      </w:r>
      <w:r>
        <w:t xml:space="preserve"> qui a été adoptée dans les</w:t>
      </w:r>
      <w:r w:rsidR="008E0C20">
        <w:t xml:space="preserve"> deux conventions fondamentales que </w:t>
      </w:r>
      <w:r w:rsidR="008E0C20">
        <w:lastRenderedPageBreak/>
        <w:t>sont les</w:t>
      </w:r>
      <w:r>
        <w:t xml:space="preserve"> conventions n</w:t>
      </w:r>
      <w:r w:rsidRPr="00EA0EB8">
        <w:rPr>
          <w:vertAlign w:val="superscript"/>
        </w:rPr>
        <w:t>os</w:t>
      </w:r>
      <w:r w:rsidR="00EA0EB8">
        <w:t> </w:t>
      </w:r>
      <w:r>
        <w:t>155 et 187. À sa quatrième réunion en 2018, le Groupe de travail tripartite du MEN a recommandé que le classement de la convention n</w:t>
      </w:r>
      <w:r w:rsidR="00EA0EB8" w:rsidRPr="00EA0EB8">
        <w:rPr>
          <w:vertAlign w:val="superscript"/>
        </w:rPr>
        <w:t>o</w:t>
      </w:r>
      <w:r w:rsidR="00EA0EB8">
        <w:t> </w:t>
      </w:r>
      <w:r>
        <w:t>62 dans la catégorie des «normes dépassées» soit confirmé, et a proposé son abrogation</w:t>
      </w:r>
      <w:r w:rsidR="00EA0EB8">
        <w:t> </w:t>
      </w:r>
      <w:r w:rsidR="00EA0EB8">
        <w:rPr>
          <w:rStyle w:val="FootnoteReference"/>
        </w:rPr>
        <w:footnoteReference w:id="7"/>
      </w:r>
      <w:r>
        <w:t>.</w:t>
      </w:r>
    </w:p>
    <w:p w14:paraId="2A91D51C" w14:textId="7F6E56B9" w:rsidR="00A76EB4" w:rsidRDefault="00A76EB4" w:rsidP="00E62AE6">
      <w:pPr>
        <w:pStyle w:val="ReportHeading1"/>
      </w:pPr>
      <w:bookmarkStart w:id="8" w:name="_Toc117775919"/>
      <w:r>
        <w:t>Convention</w:t>
      </w:r>
      <w:r w:rsidR="00EA0EB8">
        <w:t xml:space="preserve"> (n</w:t>
      </w:r>
      <w:r w:rsidR="00EA0EB8" w:rsidRPr="00EA0EB8">
        <w:rPr>
          <w:vertAlign w:val="superscript"/>
        </w:rPr>
        <w:t>o</w:t>
      </w:r>
      <w:r w:rsidR="00EA0EB8">
        <w:t xml:space="preserve"> 63) concernant les statistiques des salaires </w:t>
      </w:r>
      <w:r w:rsidR="00E62AE6">
        <w:br/>
      </w:r>
      <w:r w:rsidR="00EA0EB8">
        <w:t>et des heures de travail, 1938</w:t>
      </w:r>
      <w:bookmarkEnd w:id="8"/>
    </w:p>
    <w:p w14:paraId="37A95B54" w14:textId="644ABC53" w:rsidR="00A76EB4" w:rsidRDefault="00A76EB4" w:rsidP="00A76EB4">
      <w:pPr>
        <w:pStyle w:val="ReportParaNum"/>
      </w:pPr>
      <w:r>
        <w:t>La convention n</w:t>
      </w:r>
      <w:r w:rsidR="00EA0EB8" w:rsidRPr="00EA0EB8">
        <w:rPr>
          <w:vertAlign w:val="superscript"/>
        </w:rPr>
        <w:t>o</w:t>
      </w:r>
      <w:r w:rsidR="00EA0EB8">
        <w:t> </w:t>
      </w:r>
      <w:r>
        <w:t>63 a été adoptée en 1938. Elle fournit un ensemble de statistiques périodiques de base sur les salaires et les heures de travail et exige que les États l’ayant ratifiée compilent, publient et communiquent des statistiques relatives aux salaires et aux heures de travail dans les industries minières et manufacturières, et dans le secteur agricole. La</w:t>
      </w:r>
      <w:r w:rsidR="00EA0EB8">
        <w:t xml:space="preserve"> convention (n</w:t>
      </w:r>
      <w:r w:rsidR="00EA0EB8" w:rsidRPr="00EA0EB8">
        <w:rPr>
          <w:vertAlign w:val="superscript"/>
        </w:rPr>
        <w:t>o</w:t>
      </w:r>
      <w:r w:rsidR="00EA0EB8">
        <w:t> 160) sur les statistiques du travail, 1985</w:t>
      </w:r>
      <w:r>
        <w:t>, porte révision de la convention n</w:t>
      </w:r>
      <w:r w:rsidR="00EA0EB8" w:rsidRPr="00EA0EB8">
        <w:rPr>
          <w:vertAlign w:val="superscript"/>
        </w:rPr>
        <w:t>o</w:t>
      </w:r>
      <w:r w:rsidR="00EA0EB8">
        <w:t> </w:t>
      </w:r>
      <w:r>
        <w:t>63.</w:t>
      </w:r>
    </w:p>
    <w:p w14:paraId="77217C48" w14:textId="033E2614" w:rsidR="00A76EB4" w:rsidRDefault="00A76EB4" w:rsidP="00A76EB4">
      <w:pPr>
        <w:pStyle w:val="ReportParaNum"/>
      </w:pPr>
      <w:r>
        <w:t>La convention n</w:t>
      </w:r>
      <w:r w:rsidR="00EA0EB8" w:rsidRPr="00EA0EB8">
        <w:rPr>
          <w:vertAlign w:val="superscript"/>
        </w:rPr>
        <w:t>o</w:t>
      </w:r>
      <w:r w:rsidR="00EA0EB8">
        <w:t> </w:t>
      </w:r>
      <w:r>
        <w:t>63 a été ratifiée par 34</w:t>
      </w:r>
      <w:r w:rsidR="00EA0EB8">
        <w:t> </w:t>
      </w:r>
      <w:r>
        <w:t>États Membres puis dénoncée par 20</w:t>
      </w:r>
      <w:r w:rsidR="00EA0EB8">
        <w:t> </w:t>
      </w:r>
      <w:r>
        <w:t>d’entre eux en conséquence de leur ratification de la convention n</w:t>
      </w:r>
      <w:r w:rsidR="00EA0EB8" w:rsidRPr="00EA0EB8">
        <w:rPr>
          <w:vertAlign w:val="superscript"/>
        </w:rPr>
        <w:t>o</w:t>
      </w:r>
      <w:r w:rsidR="00EA0EB8">
        <w:t> </w:t>
      </w:r>
      <w:r>
        <w:t>160. Elle a été fermée à toute nouvelle ratification depuis 1988, quand la convention n</w:t>
      </w:r>
      <w:r w:rsidR="00EA0EB8" w:rsidRPr="00EA0EB8">
        <w:rPr>
          <w:vertAlign w:val="superscript"/>
        </w:rPr>
        <w:t>o</w:t>
      </w:r>
      <w:r w:rsidR="00EA0EB8">
        <w:t> </w:t>
      </w:r>
      <w:r>
        <w:t>160 est entrée en vigueur. Elle ne correspond plus à l’approche normative suivie pour les statistiques du travail. La portée de la convention n</w:t>
      </w:r>
      <w:r w:rsidR="00EA0EB8" w:rsidRPr="00EA0EB8">
        <w:rPr>
          <w:vertAlign w:val="superscript"/>
        </w:rPr>
        <w:t>o</w:t>
      </w:r>
      <w:r w:rsidR="00EA0EB8">
        <w:t> </w:t>
      </w:r>
      <w:r>
        <w:t>160, qui porte révision de la convention n</w:t>
      </w:r>
      <w:r w:rsidR="00EA0EB8" w:rsidRPr="00EA0EB8">
        <w:rPr>
          <w:vertAlign w:val="superscript"/>
        </w:rPr>
        <w:t>o</w:t>
      </w:r>
      <w:r w:rsidR="00EA0EB8">
        <w:t> </w:t>
      </w:r>
      <w:r>
        <w:t>63, a été élargie pour prendre en compte les besoins actuels orientés vers la mise en place d’un système intégré de statistiques du travail. L’application de cette nouvelle convention est particulièrement souple et elle garantit une collecte et une compilation cohérentes de statistiques de base complètes sur le travail. À sa quatrième réunion en 2018, le Groupe de travail tripartite du MEN a recommandé que le classement de la convention n</w:t>
      </w:r>
      <w:r w:rsidR="00EA0EB8" w:rsidRPr="00EA0EB8">
        <w:rPr>
          <w:vertAlign w:val="superscript"/>
        </w:rPr>
        <w:t>o</w:t>
      </w:r>
      <w:r w:rsidR="00EA0EB8">
        <w:t> </w:t>
      </w:r>
      <w:r>
        <w:t>63 dans la catégorie des «normes dépassées» soit confirmé, et a proposé son abrogation</w:t>
      </w:r>
      <w:r w:rsidR="00EA0EB8">
        <w:t> </w:t>
      </w:r>
      <w:r w:rsidR="00EA0EB8">
        <w:rPr>
          <w:rStyle w:val="FootnoteReference"/>
        </w:rPr>
        <w:footnoteReference w:id="8"/>
      </w:r>
      <w:r>
        <w:t>.</w:t>
      </w:r>
    </w:p>
    <w:p w14:paraId="5AA9BD08" w14:textId="33A51657" w:rsidR="00A76EB4" w:rsidRDefault="00A76EB4" w:rsidP="00E62AE6">
      <w:pPr>
        <w:pStyle w:val="ReportHeading1"/>
      </w:pPr>
      <w:bookmarkStart w:id="9" w:name="_Toc117775920"/>
      <w:r>
        <w:t>Convention</w:t>
      </w:r>
      <w:r w:rsidR="00EA0EB8">
        <w:t xml:space="preserve"> (n</w:t>
      </w:r>
      <w:r w:rsidR="00EA0EB8" w:rsidRPr="00CD7683">
        <w:rPr>
          <w:vertAlign w:val="superscript"/>
        </w:rPr>
        <w:t>o</w:t>
      </w:r>
      <w:r w:rsidR="00EA0EB8">
        <w:t> 85) sur l’inspection du travail (territoires non</w:t>
      </w:r>
      <w:r w:rsidR="00E62AE6">
        <w:t> </w:t>
      </w:r>
      <w:r w:rsidR="00EA0EB8">
        <w:t>métropolitains), 1947</w:t>
      </w:r>
      <w:bookmarkEnd w:id="9"/>
    </w:p>
    <w:p w14:paraId="3CC5C4E2" w14:textId="3E17EC43" w:rsidR="00A76EB4" w:rsidRDefault="00A76EB4" w:rsidP="00A76EB4">
      <w:pPr>
        <w:pStyle w:val="ReportParaNum"/>
      </w:pPr>
      <w:r>
        <w:t>La convention n</w:t>
      </w:r>
      <w:r w:rsidR="00CD7683" w:rsidRPr="00CD7683">
        <w:rPr>
          <w:vertAlign w:val="superscript"/>
        </w:rPr>
        <w:t>o</w:t>
      </w:r>
      <w:r w:rsidR="00CD7683">
        <w:t> </w:t>
      </w:r>
      <w:r>
        <w:t>85 a été adoptée en 1947. Elle visait à garantir l’application de normes minimales d’inspection du travail dans les territoires non métropolitains dans l’attente que ces derniers soient liés par l’instrument plus complet qu’est la</w:t>
      </w:r>
      <w:r w:rsidR="00CD7683">
        <w:t xml:space="preserve"> convention (n</w:t>
      </w:r>
      <w:r w:rsidR="00CD7683" w:rsidRPr="00CD7683">
        <w:rPr>
          <w:vertAlign w:val="superscript"/>
        </w:rPr>
        <w:t>o</w:t>
      </w:r>
      <w:r w:rsidR="00CD7683">
        <w:t> 81) sur l’inspection du travail, 1947</w:t>
      </w:r>
      <w:r>
        <w:t>.</w:t>
      </w:r>
    </w:p>
    <w:p w14:paraId="4A20B1BE" w14:textId="77777777" w:rsidR="00E62AE6" w:rsidRDefault="00A76EB4" w:rsidP="00CD7683">
      <w:pPr>
        <w:pStyle w:val="ReportParaNum"/>
        <w:sectPr w:rsidR="00E62AE6" w:rsidSect="00E62AE6">
          <w:pgSz w:w="11906" w:h="16838" w:code="9"/>
          <w:pgMar w:top="2268" w:right="1134" w:bottom="964" w:left="1134" w:header="851" w:footer="680" w:gutter="0"/>
          <w:cols w:space="284"/>
          <w:titlePg/>
          <w:docGrid w:linePitch="360"/>
          <w15:footnoteColumns w:val="1"/>
        </w:sectPr>
      </w:pPr>
      <w:r>
        <w:t>La convention n</w:t>
      </w:r>
      <w:r w:rsidR="00CD7683" w:rsidRPr="00CD7683">
        <w:rPr>
          <w:vertAlign w:val="superscript"/>
        </w:rPr>
        <w:t>o</w:t>
      </w:r>
      <w:r w:rsidR="00CD7683">
        <w:t> </w:t>
      </w:r>
      <w:r>
        <w:t>85 a été ratifiée par 11</w:t>
      </w:r>
      <w:r w:rsidR="00CD7683">
        <w:t> </w:t>
      </w:r>
      <w:r>
        <w:t xml:space="preserve">États Membres puis dénoncée par un d’entre eux. Elle s’applique actuellement à quatre territoires non métropolitains. En dérogeant au principe d’universalité de l’OIT en raison du niveau de développement économique et social des territoires non métropolitains, elle s’écarte de l’approche normative suivie depuis longtemps dans les </w:t>
      </w:r>
      <w:r>
        <w:lastRenderedPageBreak/>
        <w:t>normes internationales du travail, qui prévoit que des normes universellement applicables contiennent des mécanismes permettant une certaine souplesse. En outre, ses dispositions de fond sont largement reprises dans la convention n</w:t>
      </w:r>
      <w:r w:rsidR="00CD7683" w:rsidRPr="00CD7683">
        <w:rPr>
          <w:vertAlign w:val="superscript"/>
        </w:rPr>
        <w:t>o</w:t>
      </w:r>
      <w:r w:rsidR="00CD7683">
        <w:t> </w:t>
      </w:r>
      <w:r>
        <w:t>81 et la convention</w:t>
      </w:r>
      <w:r w:rsidR="00CD7683">
        <w:t xml:space="preserve"> (n</w:t>
      </w:r>
      <w:r w:rsidR="00CD7683" w:rsidRPr="00CD7683">
        <w:rPr>
          <w:vertAlign w:val="superscript"/>
        </w:rPr>
        <w:t>o</w:t>
      </w:r>
      <w:r w:rsidR="00CD7683">
        <w:t> 129) sur l’inspection du travail (agriculture), 1969</w:t>
      </w:r>
      <w:r>
        <w:t>, dont la portée est universelle et qui sont plus souples et plus complètes en ce qui concerne les conditions à respecter en matière d’inspection du travail. Ces deux conventions sont reconnues comme des plus importantes du point de vue de la gouvernance. À sa quatrième réunion en 2018, le Groupe de travail tripartite du MEN a recommandé que la convention n</w:t>
      </w:r>
      <w:r w:rsidR="00CD7683" w:rsidRPr="00CD7683">
        <w:rPr>
          <w:vertAlign w:val="superscript"/>
        </w:rPr>
        <w:t>o</w:t>
      </w:r>
      <w:r w:rsidR="00CD7683">
        <w:t> </w:t>
      </w:r>
      <w:r>
        <w:t>85 soit classée dans la catégorie des «normes dépassées», et a proposé son abrogation</w:t>
      </w:r>
      <w:r w:rsidR="00CD7683">
        <w:t> </w:t>
      </w:r>
      <w:r w:rsidR="00CD7683">
        <w:rPr>
          <w:rStyle w:val="FootnoteReference"/>
        </w:rPr>
        <w:footnoteReference w:id="9"/>
      </w:r>
      <w:r>
        <w:t>.</w:t>
      </w:r>
      <w:r w:rsidR="00E62AE6">
        <w:t xml:space="preserve"> </w:t>
      </w:r>
    </w:p>
    <w:p w14:paraId="60C7D562" w14:textId="1330ED15" w:rsidR="00415D00" w:rsidRDefault="00CD7683" w:rsidP="00CD7683">
      <w:pPr>
        <w:pStyle w:val="ReportChapter"/>
      </w:pPr>
      <w:bookmarkStart w:id="10" w:name="_Toc117775921"/>
      <w:r>
        <w:lastRenderedPageBreak/>
        <w:t>Questionnaire</w:t>
      </w:r>
      <w:bookmarkEnd w:id="10"/>
    </w:p>
    <w:p w14:paraId="13C4E778" w14:textId="31B39049" w:rsidR="00CD7683" w:rsidRDefault="00B7734B" w:rsidP="00B7734B">
      <w:pPr>
        <w:pStyle w:val="ReportHeading4"/>
      </w:pPr>
      <w:r w:rsidRPr="00B7734B">
        <w:t>Estimez-vous que les quatre conventions susmentionnées devraient être abrogées?</w:t>
      </w:r>
    </w:p>
    <w:p w14:paraId="38CD104D" w14:textId="267901C3" w:rsidR="00B7734B" w:rsidRPr="00EA6863" w:rsidRDefault="00B7734B" w:rsidP="00B7734B">
      <w:pPr>
        <w:keepNext/>
        <w:keepLines/>
        <w:spacing w:after="0" w:line="276" w:lineRule="auto"/>
        <w:rPr>
          <w:rFonts w:eastAsia="Calibri"/>
          <w:b/>
          <w:lang w:val="fr-FR"/>
        </w:rPr>
      </w:pPr>
      <w:r w:rsidRPr="00EA6863">
        <w:rPr>
          <w:rFonts w:ascii="Times New Roman" w:eastAsia="Calibri" w:hAnsi="Times New Roman" w:cs="Times New Roman"/>
          <w:b/>
          <w:sz w:val="24"/>
          <w:szCs w:val="24"/>
          <w:lang w:val="fr-FR"/>
        </w:rPr>
        <w:t xml:space="preserve">      </w:t>
      </w:r>
      <w:r>
        <w:rPr>
          <w:rFonts w:ascii="Times New Roman" w:eastAsia="Calibri" w:hAnsi="Times New Roman" w:cs="Times New Roman"/>
          <w:b/>
          <w:sz w:val="24"/>
          <w:szCs w:val="24"/>
          <w:lang w:val="fr-FR"/>
        </w:rPr>
        <w:t xml:space="preserve">   </w:t>
      </w:r>
      <w:r w:rsidR="00C64B77">
        <w:rPr>
          <w:rFonts w:ascii="Times New Roman" w:eastAsia="Calibri" w:hAnsi="Times New Roman" w:cs="Times New Roman"/>
          <w:b/>
          <w:sz w:val="24"/>
          <w:szCs w:val="24"/>
          <w:lang w:val="fr-FR"/>
        </w:rPr>
        <w:t xml:space="preserve"> </w:t>
      </w:r>
      <w:sdt>
        <w:sdtPr>
          <w:rPr>
            <w:rFonts w:ascii="Times New Roman" w:eastAsia="Calibri" w:hAnsi="Times New Roman" w:cs="Times New Roman"/>
            <w:b/>
            <w:sz w:val="24"/>
            <w:szCs w:val="24"/>
            <w:lang w:val="fr-FR"/>
          </w:rPr>
          <w:id w:val="656815127"/>
          <w14:checkbox>
            <w14:checked w14:val="0"/>
            <w14:checkedState w14:val="2612" w14:font="MS Gothic"/>
            <w14:uncheckedState w14:val="2610" w14:font="MS Gothic"/>
          </w14:checkbox>
        </w:sdtPr>
        <w:sdtEndPr/>
        <w:sdtContent>
          <w:r w:rsidR="00486B4D">
            <w:rPr>
              <w:rFonts w:ascii="MS Gothic" w:eastAsia="MS Gothic" w:hAnsi="MS Gothic" w:cs="Times New Roman" w:hint="eastAsia"/>
              <w:b/>
              <w:sz w:val="24"/>
              <w:szCs w:val="24"/>
              <w:lang w:val="fr-FR"/>
            </w:rPr>
            <w:t>☐</w:t>
          </w:r>
        </w:sdtContent>
      </w:sdt>
      <w:r w:rsidRPr="00EA6863">
        <w:rPr>
          <w:rFonts w:eastAsia="Calibri"/>
          <w:b/>
          <w:bCs/>
          <w:lang w:val="fr-FR"/>
        </w:rPr>
        <w:t xml:space="preserve"> </w:t>
      </w:r>
      <w:bookmarkStart w:id="11" w:name="lt_pId094"/>
      <w:r w:rsidRPr="00EA6863">
        <w:rPr>
          <w:rFonts w:eastAsia="Calibri"/>
          <w:b/>
          <w:bCs/>
          <w:lang w:val="fr-FR"/>
        </w:rPr>
        <w:t>Oui</w:t>
      </w:r>
      <w:bookmarkEnd w:id="11"/>
      <w:r w:rsidRPr="00EA6863">
        <w:rPr>
          <w:rFonts w:ascii="Times New Roman" w:eastAsia="Calibri" w:hAnsi="Times New Roman" w:cs="Times New Roman"/>
          <w:b/>
          <w:sz w:val="24"/>
          <w:szCs w:val="24"/>
          <w:lang w:val="fr-FR"/>
        </w:rPr>
        <w:t xml:space="preserve">     </w:t>
      </w:r>
      <w:r>
        <w:rPr>
          <w:rFonts w:ascii="Times New Roman" w:eastAsia="Calibri" w:hAnsi="Times New Roman" w:cs="Times New Roman"/>
          <w:b/>
          <w:sz w:val="24"/>
          <w:szCs w:val="24"/>
          <w:lang w:val="fr-FR"/>
        </w:rPr>
        <w:t xml:space="preserve">  </w:t>
      </w:r>
      <w:r w:rsidRPr="00EA6863">
        <w:rPr>
          <w:rFonts w:ascii="Times New Roman" w:eastAsia="Calibri" w:hAnsi="Times New Roman" w:cs="Times New Roman"/>
          <w:b/>
          <w:sz w:val="24"/>
          <w:szCs w:val="24"/>
          <w:lang w:val="fr-FR"/>
        </w:rPr>
        <w:t xml:space="preserve">  </w:t>
      </w:r>
      <w:sdt>
        <w:sdtPr>
          <w:rPr>
            <w:rFonts w:ascii="Times New Roman" w:eastAsia="Calibri" w:hAnsi="Times New Roman" w:cs="Times New Roman"/>
            <w:b/>
            <w:sz w:val="24"/>
            <w:szCs w:val="24"/>
            <w:lang w:val="fr-FR"/>
          </w:rPr>
          <w:id w:val="-1748023111"/>
          <w14:checkbox>
            <w14:checked w14:val="0"/>
            <w14:checkedState w14:val="2612" w14:font="MS Gothic"/>
            <w14:uncheckedState w14:val="2610" w14:font="MS Gothic"/>
          </w14:checkbox>
        </w:sdtPr>
        <w:sdtEndPr/>
        <w:sdtContent>
          <w:r w:rsidR="007243F9">
            <w:rPr>
              <w:rFonts w:ascii="MS Gothic" w:eastAsia="MS Gothic" w:hAnsi="MS Gothic" w:cs="Times New Roman" w:hint="eastAsia"/>
              <w:b/>
              <w:sz w:val="24"/>
              <w:szCs w:val="24"/>
              <w:lang w:val="fr-FR"/>
            </w:rPr>
            <w:t>☐</w:t>
          </w:r>
        </w:sdtContent>
      </w:sdt>
      <w:r w:rsidRPr="00EA6863">
        <w:rPr>
          <w:rFonts w:ascii="Times New Roman" w:eastAsia="Calibri" w:hAnsi="Times New Roman" w:cs="Times New Roman"/>
          <w:b/>
          <w:sz w:val="24"/>
          <w:szCs w:val="24"/>
          <w:lang w:val="fr-FR"/>
        </w:rPr>
        <w:t xml:space="preserve"> </w:t>
      </w:r>
      <w:bookmarkStart w:id="12" w:name="lt_pId095"/>
      <w:r w:rsidRPr="00EA6863">
        <w:rPr>
          <w:rFonts w:eastAsia="Calibri"/>
          <w:b/>
          <w:lang w:val="fr-FR"/>
        </w:rPr>
        <w:t>No</w:t>
      </w:r>
      <w:bookmarkEnd w:id="12"/>
      <w:r w:rsidRPr="00EA6863">
        <w:rPr>
          <w:rFonts w:eastAsia="Calibri"/>
          <w:b/>
          <w:lang w:val="fr-FR"/>
        </w:rPr>
        <w:t>n</w:t>
      </w:r>
    </w:p>
    <w:p w14:paraId="32F04B87" w14:textId="61EA67B1" w:rsidR="00B7734B" w:rsidRDefault="00B7734B" w:rsidP="00B7734B">
      <w:pPr>
        <w:pStyle w:val="ReportParaIndentFirstline"/>
      </w:pPr>
      <w:r>
        <w:t>Si vous avez répondu «non» à la question ci-dessus, veuillez indiquer, parmi les conventions citées, celles qui, selon vous, n’ont pas perdu leur objet ou continuent d’apporter une contribution utile à l’accomplissement des objectifs de l’Organisation, et expliquer pourquoi.</w:t>
      </w:r>
    </w:p>
    <w:bookmarkEnd w:id="3" w:displacedByCustomXml="next"/>
    <w:bookmarkEnd w:id="0" w:displacedByCustomXml="next"/>
    <w:sdt>
      <w:sdtPr>
        <w:rPr>
          <w:rStyle w:val="ReportParaChar"/>
        </w:rPr>
        <w:id w:val="1484279151"/>
      </w:sdtPr>
      <w:sdtEndPr>
        <w:rPr>
          <w:rStyle w:val="ReportParaChar"/>
        </w:rPr>
      </w:sdtEndPr>
      <w:sdtContent>
        <w:p w14:paraId="0EBFB7EA" w14:textId="04CDDFA6" w:rsidR="007401C1" w:rsidRPr="00992D5E" w:rsidRDefault="007401C1" w:rsidP="007401C1">
          <w:pPr>
            <w:spacing w:after="0" w:line="276" w:lineRule="auto"/>
            <w:rPr>
              <w:rFonts w:eastAsia="Calibri"/>
              <w:bCs/>
              <w:sz w:val="20"/>
              <w:szCs w:val="20"/>
              <w:shd w:val="clear" w:color="auto" w:fill="EBF5FD"/>
              <w:lang w:val="fr-FR"/>
            </w:rPr>
          </w:pPr>
          <w:r>
            <w:rPr>
              <w:rStyle w:val="ReportParaChar"/>
            </w:rPr>
            <w:t>Double-cliquez pour introduire vos commentaires</w:t>
          </w:r>
          <w:r w:rsidRPr="00F47E92">
            <w:rPr>
              <w:rStyle w:val="ReportParaChar"/>
            </w:rPr>
            <w:t>.</w:t>
          </w:r>
        </w:p>
      </w:sdtContent>
    </w:sdt>
    <w:sectPr w:rsidR="007401C1" w:rsidRPr="00992D5E" w:rsidSect="00C5365E">
      <w:type w:val="oddPage"/>
      <w:pgSz w:w="11906" w:h="16838" w:code="9"/>
      <w:pgMar w:top="2268" w:right="1134" w:bottom="964" w:left="1134" w:header="851" w:footer="680" w:gutter="0"/>
      <w:cols w:space="284"/>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90F74" w14:textId="77777777" w:rsidR="000B0CF7" w:rsidRDefault="000B0CF7" w:rsidP="00D83F6C">
      <w:pPr>
        <w:spacing w:line="240" w:lineRule="auto"/>
      </w:pPr>
      <w:r>
        <w:separator/>
      </w:r>
    </w:p>
    <w:p w14:paraId="63028910" w14:textId="77777777" w:rsidR="000B0CF7" w:rsidRDefault="000B0CF7"/>
    <w:p w14:paraId="7351264B" w14:textId="77777777" w:rsidR="000B0CF7" w:rsidRDefault="000B0CF7"/>
    <w:p w14:paraId="0B36F247" w14:textId="77777777" w:rsidR="000B0CF7" w:rsidRDefault="000B0CF7"/>
  </w:endnote>
  <w:endnote w:type="continuationSeparator" w:id="0">
    <w:p w14:paraId="54E555C6" w14:textId="77777777" w:rsidR="000B0CF7" w:rsidRDefault="000B0CF7" w:rsidP="00D83F6C">
      <w:pPr>
        <w:spacing w:line="240" w:lineRule="auto"/>
      </w:pPr>
      <w:r>
        <w:continuationSeparator/>
      </w:r>
    </w:p>
    <w:p w14:paraId="7D18729B" w14:textId="77777777" w:rsidR="000B0CF7" w:rsidRDefault="000B0CF7"/>
    <w:p w14:paraId="2DF190CE" w14:textId="77777777" w:rsidR="000B0CF7" w:rsidRDefault="000B0CF7"/>
    <w:p w14:paraId="274D0947" w14:textId="77777777" w:rsidR="000B0CF7" w:rsidRDefault="000B0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Noto Sans SC Regular">
    <w:altName w:val="Malgun Gothic Semilight"/>
    <w:panose1 w:val="00000000000000000000"/>
    <w:charset w:val="80"/>
    <w:family w:val="swiss"/>
    <w:notTrueType/>
    <w:pitch w:val="variable"/>
    <w:sig w:usb0="20000207" w:usb1="2ADF3C10" w:usb2="00000016" w:usb3="00000000" w:csb0="0006010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emBd">
    <w:altName w:val="Arial"/>
    <w:charset w:val="01"/>
    <w:family w:val="swiss"/>
    <w:pitch w:val="variable"/>
    <w:sig w:usb0="E00002FF" w:usb1="4000001F" w:usb2="08000029" w:usb3="00000000" w:csb0="00000000" w:csb1="00000000"/>
  </w:font>
  <w:font w:name="Overpass">
    <w:panose1 w:val="00000500000000000000"/>
    <w:charset w:val="00"/>
    <w:family w:val="modern"/>
    <w:notTrueType/>
    <w:pitch w:val="variable"/>
    <w:sig w:usb0="00000007" w:usb1="00000020" w:usb2="00000000" w:usb3="00000000" w:csb0="00000093" w:csb1="00000000"/>
  </w:font>
  <w:font w:name="Noto Sans SC Bold">
    <w:panose1 w:val="00000000000000000000"/>
    <w:charset w:val="80"/>
    <w:family w:val="swiss"/>
    <w:notTrueType/>
    <w:pitch w:val="variable"/>
    <w:sig w:usb0="20000207" w:usb1="2ADF3C10" w:usb2="00000016" w:usb3="00000000" w:csb0="00060107" w:csb1="00000000"/>
  </w:font>
  <w:font w:name="Overpass Light">
    <w:panose1 w:val="00000400000000000000"/>
    <w:charset w:val="00"/>
    <w:family w:val="modern"/>
    <w:notTrueType/>
    <w:pitch w:val="variable"/>
    <w:sig w:usb0="00000007" w:usb1="0000002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521DA" w14:textId="77777777" w:rsidR="000B0CF7" w:rsidRPr="003D357F" w:rsidRDefault="000B0CF7" w:rsidP="003D357F">
      <w:pPr>
        <w:pStyle w:val="FootnoteSeparator"/>
      </w:pPr>
    </w:p>
  </w:footnote>
  <w:footnote w:type="continuationSeparator" w:id="0">
    <w:p w14:paraId="0809E153" w14:textId="77777777" w:rsidR="000B0CF7" w:rsidRDefault="000B0CF7" w:rsidP="00D83F6C">
      <w:pPr>
        <w:spacing w:line="240" w:lineRule="auto"/>
      </w:pPr>
      <w:r>
        <w:continuationSeparator/>
      </w:r>
    </w:p>
    <w:p w14:paraId="7E15DFE0" w14:textId="77777777" w:rsidR="000B0CF7" w:rsidRDefault="000B0CF7"/>
    <w:p w14:paraId="283A9375" w14:textId="77777777" w:rsidR="000B0CF7" w:rsidRDefault="000B0CF7"/>
    <w:p w14:paraId="6A37A560" w14:textId="77777777" w:rsidR="000B0CF7" w:rsidRDefault="000B0CF7"/>
  </w:footnote>
  <w:footnote w:id="1">
    <w:p w14:paraId="3CFA62CE" w14:textId="04BD0701" w:rsidR="00332B8C" w:rsidRDefault="00332B8C">
      <w:pPr>
        <w:pStyle w:val="FootnoteText"/>
      </w:pPr>
      <w:r>
        <w:rPr>
          <w:rStyle w:val="FootnoteReference"/>
        </w:rPr>
        <w:footnoteRef/>
      </w:r>
      <w:r>
        <w:t> </w:t>
      </w:r>
      <w:r w:rsidR="00C2765C" w:rsidRPr="0052226F">
        <w:t>OIT,</w:t>
      </w:r>
      <w:r w:rsidR="00C2765C" w:rsidRPr="00C2765C">
        <w:t xml:space="preserve"> </w:t>
      </w:r>
      <w:hyperlink r:id="rId1" w:history="1">
        <w:r w:rsidR="00C2765C" w:rsidRPr="00C64B77">
          <w:rPr>
            <w:rStyle w:val="ReportHyperlink"/>
            <w:i/>
            <w:iCs/>
          </w:rPr>
          <w:t>Ordre du jour des prochaines sessions de la Conférence internationale du Travail</w:t>
        </w:r>
      </w:hyperlink>
      <w:r w:rsidR="00C2765C" w:rsidRPr="00C2765C">
        <w:t>, GB.343/INS/2(Rev.1), 2021, paragr.</w:t>
      </w:r>
      <w:r w:rsidR="00C2765C">
        <w:t> </w:t>
      </w:r>
      <w:r w:rsidR="00C2765C" w:rsidRPr="00C2765C">
        <w:t xml:space="preserve">19; </w:t>
      </w:r>
      <w:r w:rsidR="00C2765C" w:rsidRPr="0052226F">
        <w:t>et OIT,</w:t>
      </w:r>
      <w:r w:rsidR="00C2765C" w:rsidRPr="00C2765C">
        <w:t xml:space="preserve"> </w:t>
      </w:r>
      <w:hyperlink r:id="rId2" w:history="1">
        <w:r w:rsidR="00C2765C" w:rsidRPr="00C64B77">
          <w:rPr>
            <w:rStyle w:val="ReportHyperlink"/>
            <w:i/>
            <w:iCs/>
          </w:rPr>
          <w:t>Procès-verbaux de la 343</w:t>
        </w:r>
        <w:r w:rsidR="00C2765C" w:rsidRPr="00C64B77">
          <w:rPr>
            <w:rStyle w:val="ReportHyperlink"/>
            <w:i/>
            <w:iCs/>
            <w:vertAlign w:val="superscript"/>
          </w:rPr>
          <w:t>e</w:t>
        </w:r>
        <w:r w:rsidR="00C2765C" w:rsidRPr="00C64B77">
          <w:rPr>
            <w:rStyle w:val="ReportHyperlink"/>
            <w:i/>
            <w:iCs/>
          </w:rPr>
          <w:t> session du Conseil d</w:t>
        </w:r>
        <w:r w:rsidR="00A2217C" w:rsidRPr="00C64B77">
          <w:rPr>
            <w:rStyle w:val="ReportHyperlink"/>
            <w:i/>
            <w:iCs/>
          </w:rPr>
          <w:t>’</w:t>
        </w:r>
        <w:r w:rsidR="00C2765C" w:rsidRPr="00C64B77">
          <w:rPr>
            <w:rStyle w:val="ReportHyperlink"/>
            <w:i/>
            <w:iCs/>
          </w:rPr>
          <w:t>administration du Bureau international du Travail</w:t>
        </w:r>
      </w:hyperlink>
      <w:r w:rsidR="00C2765C" w:rsidRPr="00C2765C">
        <w:t>, GB.343/PV, 2021, paragr.</w:t>
      </w:r>
      <w:r w:rsidR="00C2765C">
        <w:t> </w:t>
      </w:r>
      <w:r w:rsidR="00C2765C" w:rsidRPr="00C2765C">
        <w:t>62</w:t>
      </w:r>
      <w:r w:rsidR="00C2765C">
        <w:t> </w:t>
      </w:r>
      <w:r w:rsidR="00C2765C" w:rsidRPr="00C2765C">
        <w:rPr>
          <w:i/>
          <w:iCs/>
        </w:rPr>
        <w:t>c)</w:t>
      </w:r>
      <w:r w:rsidR="00C2765C" w:rsidRPr="00C2765C">
        <w:t>.</w:t>
      </w:r>
    </w:p>
  </w:footnote>
  <w:footnote w:id="2">
    <w:p w14:paraId="225BD4CB" w14:textId="01B8863D" w:rsidR="00332B8C" w:rsidRDefault="00332B8C">
      <w:pPr>
        <w:pStyle w:val="FootnoteText"/>
      </w:pPr>
      <w:r>
        <w:rPr>
          <w:rStyle w:val="FootnoteReference"/>
        </w:rPr>
        <w:footnoteRef/>
      </w:r>
      <w:r>
        <w:t> </w:t>
      </w:r>
      <w:r w:rsidR="00EE1E94" w:rsidRPr="00EE1E94">
        <w:t>Le Groupe de travail tripartite du MEN, créé par le Conseil d</w:t>
      </w:r>
      <w:r w:rsidR="00A2217C">
        <w:t>’</w:t>
      </w:r>
      <w:r w:rsidR="00EE1E94" w:rsidRPr="00EE1E94">
        <w:t>administration à sa 323</w:t>
      </w:r>
      <w:r w:rsidR="00EE1E94" w:rsidRPr="00EE1E94">
        <w:rPr>
          <w:vertAlign w:val="superscript"/>
        </w:rPr>
        <w:t>e</w:t>
      </w:r>
      <w:r w:rsidR="00EE1E94">
        <w:t> </w:t>
      </w:r>
      <w:r w:rsidR="00EE1E94" w:rsidRPr="00EE1E94">
        <w:t>session (mars 2015), a pour mission de «contribuer à la réalisation de l</w:t>
      </w:r>
      <w:r w:rsidR="00A2217C">
        <w:t>’</w:t>
      </w:r>
      <w:r w:rsidR="00EE1E94" w:rsidRPr="00EE1E94">
        <w:t>objectif général du mécanisme d</w:t>
      </w:r>
      <w:r w:rsidR="00A2217C">
        <w:t>’</w:t>
      </w:r>
      <w:r w:rsidR="00EE1E94" w:rsidRPr="00EE1E94">
        <w:t>examen des normes, qui est de s</w:t>
      </w:r>
      <w:r w:rsidR="00A2217C">
        <w:t>’</w:t>
      </w:r>
      <w:r w:rsidR="00EE1E94" w:rsidRPr="00EE1E94">
        <w:t>assurer que l</w:t>
      </w:r>
      <w:r w:rsidR="00A2217C">
        <w:t>’</w:t>
      </w:r>
      <w:r w:rsidR="00EE1E94" w:rsidRPr="00EE1E94">
        <w:t>OIT dispose d</w:t>
      </w:r>
      <w:r w:rsidR="00A2217C">
        <w:t>’</w:t>
      </w:r>
      <w:r w:rsidR="00EE1E94" w:rsidRPr="00EE1E94">
        <w:t>un corpus de normes internationales du travail solide, clairement défini et à jour lui permettant de répondre aux mutations du monde du travail, aux fins de la protection des travailleurs et compte tenu des besoins des entreprises durables</w:t>
      </w:r>
      <w:r w:rsidR="00EE1E94">
        <w:t>»</w:t>
      </w:r>
      <w:r w:rsidR="00EE1E94" w:rsidRPr="00EE1E94">
        <w:t>. Conformément au paragraphe</w:t>
      </w:r>
      <w:r w:rsidR="00EE1E94">
        <w:t> </w:t>
      </w:r>
      <w:r w:rsidR="00EE1E94" w:rsidRPr="00EE1E94">
        <w:t>9 de son mandat, le Groupe de travail tripartite du MEN «examine les normes internationales du travail en vue de faire des recommandations à l</w:t>
      </w:r>
      <w:r w:rsidR="00A2217C">
        <w:t>’</w:t>
      </w:r>
      <w:r w:rsidR="00EE1E94" w:rsidRPr="00EE1E94">
        <w:t>intention du Conseil d</w:t>
      </w:r>
      <w:r w:rsidR="00A2217C">
        <w:t>’</w:t>
      </w:r>
      <w:r w:rsidR="00EE1E94" w:rsidRPr="00EE1E94">
        <w:t xml:space="preserve">administration sur: </w:t>
      </w:r>
      <w:r w:rsidR="00EE1E94" w:rsidRPr="00EE1E94">
        <w:rPr>
          <w:i/>
          <w:iCs/>
        </w:rPr>
        <w:t>a)</w:t>
      </w:r>
      <w:r w:rsidR="00EE1E94">
        <w:t> </w:t>
      </w:r>
      <w:r w:rsidR="00EE1E94" w:rsidRPr="00EE1E94">
        <w:t>le statut des normes examinées, y compris les normes à jour, les normes devant être révisées, les normes dépassées, et d</w:t>
      </w:r>
      <w:r w:rsidR="00A2217C">
        <w:t>’</w:t>
      </w:r>
      <w:r w:rsidR="00EE1E94" w:rsidRPr="00EE1E94">
        <w:t xml:space="preserve">autres classifications possibles; </w:t>
      </w:r>
      <w:r w:rsidR="00EE1E94" w:rsidRPr="00EE1E94">
        <w:rPr>
          <w:i/>
          <w:iCs/>
        </w:rPr>
        <w:t>b)</w:t>
      </w:r>
      <w:r w:rsidR="00EE1E94">
        <w:t> </w:t>
      </w:r>
      <w:r w:rsidR="00EE1E94" w:rsidRPr="00EE1E94">
        <w:t xml:space="preserve">le recensement des lacunes dans la couverture, y compris celles nécessitant de nouvelles normes; </w:t>
      </w:r>
      <w:r w:rsidR="00EE1E94" w:rsidRPr="00EE1E94">
        <w:rPr>
          <w:i/>
          <w:iCs/>
        </w:rPr>
        <w:t>c)</w:t>
      </w:r>
      <w:r w:rsidR="00EE1E94">
        <w:t> </w:t>
      </w:r>
      <w:r w:rsidR="00EE1E94" w:rsidRPr="00EE1E94">
        <w:t xml:space="preserve">des mesures de suivi concrètes assorties de délais de mise en œuvre, le cas échéant». Pour de plus amples informations, voir la </w:t>
      </w:r>
      <w:hyperlink r:id="rId3" w:history="1">
        <w:r w:rsidR="00EE1E94" w:rsidRPr="00EE1E94">
          <w:rPr>
            <w:rStyle w:val="ReportHyperlink"/>
          </w:rPr>
          <w:t>page Web</w:t>
        </w:r>
      </w:hyperlink>
      <w:r w:rsidR="00EE1E94" w:rsidRPr="00EE1E94">
        <w:t xml:space="preserve"> du Groupe de travail tripartite du MEN.</w:t>
      </w:r>
    </w:p>
  </w:footnote>
  <w:footnote w:id="3">
    <w:p w14:paraId="2EE09A06" w14:textId="272061B8" w:rsidR="00332B8C" w:rsidRDefault="00332B8C">
      <w:pPr>
        <w:pStyle w:val="FootnoteText"/>
      </w:pPr>
      <w:r>
        <w:rPr>
          <w:rStyle w:val="FootnoteReference"/>
        </w:rPr>
        <w:footnoteRef/>
      </w:r>
      <w:r>
        <w:t> </w:t>
      </w:r>
      <w:r w:rsidR="00AB7CB9" w:rsidRPr="0052226F">
        <w:t>Voir OIT,</w:t>
      </w:r>
      <w:r w:rsidR="00AB7CB9" w:rsidRPr="00AB7CB9">
        <w:t xml:space="preserve"> </w:t>
      </w:r>
      <w:hyperlink r:id="rId4" w:history="1">
        <w:r w:rsidR="00AB7CB9" w:rsidRPr="00DF32D0">
          <w:rPr>
            <w:rStyle w:val="ReportHyperlink"/>
            <w:i/>
            <w:iCs/>
          </w:rPr>
          <w:t>Initiative sur les normes: rapport de la quatrième réunion du Groupe de travail tripartite du mécanisme d</w:t>
        </w:r>
        <w:r w:rsidR="00A2217C" w:rsidRPr="00DF32D0">
          <w:rPr>
            <w:rStyle w:val="ReportHyperlink"/>
            <w:i/>
            <w:iCs/>
          </w:rPr>
          <w:t>’</w:t>
        </w:r>
        <w:r w:rsidR="00AB7CB9" w:rsidRPr="00DF32D0">
          <w:rPr>
            <w:rStyle w:val="ReportHyperlink"/>
            <w:i/>
            <w:iCs/>
          </w:rPr>
          <w:t>examen des normes</w:t>
        </w:r>
      </w:hyperlink>
      <w:r w:rsidR="00AB7CB9" w:rsidRPr="00AB7CB9">
        <w:t>, GB.334/LILS/3, 2018</w:t>
      </w:r>
      <w:r w:rsidR="00AB7CB9" w:rsidRPr="0052226F">
        <w:t>; et OIT,</w:t>
      </w:r>
      <w:r w:rsidR="00AB7CB9" w:rsidRPr="00AB7CB9">
        <w:t xml:space="preserve"> </w:t>
      </w:r>
      <w:hyperlink r:id="rId5" w:anchor="page=10" w:history="1">
        <w:r w:rsidR="00AB7CB9" w:rsidRPr="00DF32D0">
          <w:rPr>
            <w:rStyle w:val="ReportHyperlink"/>
            <w:i/>
            <w:iCs/>
          </w:rPr>
          <w:t>Ordre du jour de la Conférence internationale du Travail</w:t>
        </w:r>
      </w:hyperlink>
      <w:r w:rsidR="00AB7CB9" w:rsidRPr="00AB7CB9">
        <w:t>, GB.334/INS/2/1, 2018, paragr.</w:t>
      </w:r>
      <w:r w:rsidR="00AB7CB9">
        <w:t> </w:t>
      </w:r>
      <w:r w:rsidR="00AB7CB9" w:rsidRPr="00AB7CB9">
        <w:t>22 et annexe</w:t>
      </w:r>
      <w:r w:rsidR="00AB7CB9">
        <w:t> </w:t>
      </w:r>
      <w:r w:rsidR="00AB7CB9" w:rsidRPr="00AB7CB9">
        <w:t xml:space="preserve">II. </w:t>
      </w:r>
      <w:r w:rsidR="00AB7CB9" w:rsidRPr="006573A9">
        <w:t xml:space="preserve">Pour rappel, </w:t>
      </w:r>
      <w:r w:rsidR="006573A9" w:rsidRPr="006573A9">
        <w:t>à sa 334</w:t>
      </w:r>
      <w:r w:rsidR="006573A9" w:rsidRPr="006573A9">
        <w:rPr>
          <w:vertAlign w:val="superscript"/>
        </w:rPr>
        <w:t>e</w:t>
      </w:r>
      <w:r w:rsidR="006573A9">
        <w:t> </w:t>
      </w:r>
      <w:r w:rsidR="006573A9" w:rsidRPr="006573A9">
        <w:t xml:space="preserve">session (octobre-novembre 2018), </w:t>
      </w:r>
      <w:r w:rsidR="00AB7CB9" w:rsidRPr="006573A9">
        <w:t>le Conseil d</w:t>
      </w:r>
      <w:r w:rsidR="00A2217C" w:rsidRPr="006573A9">
        <w:t>’</w:t>
      </w:r>
      <w:r w:rsidR="00AB7CB9" w:rsidRPr="006573A9">
        <w:t>administration a décidé d</w:t>
      </w:r>
      <w:r w:rsidR="00A2217C" w:rsidRPr="006573A9">
        <w:t>’</w:t>
      </w:r>
      <w:r w:rsidR="00AB7CB9" w:rsidRPr="006573A9">
        <w:t>inscrire la question de l</w:t>
      </w:r>
      <w:r w:rsidR="00A2217C" w:rsidRPr="006573A9">
        <w:t>’</w:t>
      </w:r>
      <w:r w:rsidR="00AB7CB9" w:rsidRPr="006573A9">
        <w:t>abrogation</w:t>
      </w:r>
      <w:r w:rsidR="00AB7CB9" w:rsidRPr="00AB7CB9">
        <w:t xml:space="preserve"> des quatre conventions à l</w:t>
      </w:r>
      <w:r w:rsidR="00A2217C">
        <w:t>’</w:t>
      </w:r>
      <w:r w:rsidR="00AB7CB9" w:rsidRPr="00AB7CB9">
        <w:t>ordre du jour de la 113</w:t>
      </w:r>
      <w:r w:rsidR="00AB7CB9" w:rsidRPr="00AB7CB9">
        <w:rPr>
          <w:vertAlign w:val="superscript"/>
        </w:rPr>
        <w:t>e</w:t>
      </w:r>
      <w:r w:rsidR="00AB7CB9">
        <w:t> </w:t>
      </w:r>
      <w:r w:rsidR="00AB7CB9" w:rsidRPr="00AB7CB9">
        <w:t>session de la Conférence qui devait à l</w:t>
      </w:r>
      <w:r w:rsidR="00A2217C">
        <w:t>’</w:t>
      </w:r>
      <w:r w:rsidR="00AB7CB9" w:rsidRPr="00AB7CB9">
        <w:t>origine se tenir en 2024. Par suite de la pandémie de COVID-19, la 113</w:t>
      </w:r>
      <w:r w:rsidR="00AB7CB9" w:rsidRPr="00AB7CB9">
        <w:rPr>
          <w:vertAlign w:val="superscript"/>
        </w:rPr>
        <w:t>e</w:t>
      </w:r>
      <w:r w:rsidR="00AB7CB9">
        <w:t> </w:t>
      </w:r>
      <w:r w:rsidR="00AB7CB9" w:rsidRPr="00AB7CB9">
        <w:t>session aura désormais lieu en 2025. À sa 343</w:t>
      </w:r>
      <w:r w:rsidR="00AB7CB9" w:rsidRPr="00AB7CB9">
        <w:rPr>
          <w:vertAlign w:val="superscript"/>
        </w:rPr>
        <w:t>e</w:t>
      </w:r>
      <w:r w:rsidR="00AB7CB9">
        <w:t> </w:t>
      </w:r>
      <w:r w:rsidR="00AB7CB9" w:rsidRPr="00AB7CB9">
        <w:t>session</w:t>
      </w:r>
      <w:r w:rsidR="00702611">
        <w:t xml:space="preserve"> (novembre 2021)</w:t>
      </w:r>
      <w:r w:rsidR="00AB7CB9" w:rsidRPr="00AB7CB9">
        <w:t>, le Conseil d</w:t>
      </w:r>
      <w:r w:rsidR="00A2217C">
        <w:t>’</w:t>
      </w:r>
      <w:r w:rsidR="00AB7CB9" w:rsidRPr="00AB7CB9">
        <w:t>administration a décidé de maintenir la discussion en 2024 et a donc inscrit cette question à l</w:t>
      </w:r>
      <w:r w:rsidR="00A2217C">
        <w:t>’</w:t>
      </w:r>
      <w:r w:rsidR="00AB7CB9" w:rsidRPr="00AB7CB9">
        <w:t>ordre du jour de la 112</w:t>
      </w:r>
      <w:r w:rsidR="00AB7CB9" w:rsidRPr="00AB7CB9">
        <w:rPr>
          <w:vertAlign w:val="superscript"/>
        </w:rPr>
        <w:t>e</w:t>
      </w:r>
      <w:r w:rsidR="00AB7CB9">
        <w:t> </w:t>
      </w:r>
      <w:r w:rsidR="00AB7CB9" w:rsidRPr="00AB7CB9">
        <w:t>session de la Conférence.</w:t>
      </w:r>
    </w:p>
  </w:footnote>
  <w:footnote w:id="4">
    <w:p w14:paraId="371F62CD" w14:textId="69774982" w:rsidR="00332B8C" w:rsidRDefault="00332B8C">
      <w:pPr>
        <w:pStyle w:val="FootnoteText"/>
      </w:pPr>
      <w:r>
        <w:rPr>
          <w:rStyle w:val="FootnoteReference"/>
        </w:rPr>
        <w:footnoteRef/>
      </w:r>
      <w:r>
        <w:t> </w:t>
      </w:r>
      <w:r w:rsidR="00743C0B" w:rsidRPr="00743C0B">
        <w:t>Pour de plus amples informations sur les effets d</w:t>
      </w:r>
      <w:r w:rsidR="00A2217C">
        <w:t>’</w:t>
      </w:r>
      <w:r w:rsidR="00743C0B" w:rsidRPr="00743C0B">
        <w:t>importance de l</w:t>
      </w:r>
      <w:r w:rsidR="00A2217C">
        <w:t>’</w:t>
      </w:r>
      <w:r w:rsidR="00743C0B" w:rsidRPr="00743C0B">
        <w:t>abrogation ainsi que la procédure</w:t>
      </w:r>
      <w:r w:rsidR="00743C0B" w:rsidRPr="0052226F">
        <w:t>, voir OIT,</w:t>
      </w:r>
      <w:r w:rsidR="00743C0B" w:rsidRPr="00743C0B">
        <w:t xml:space="preserve"> </w:t>
      </w:r>
      <w:hyperlink r:id="rId6" w:history="1">
        <w:r w:rsidR="00743C0B" w:rsidRPr="00DF32D0">
          <w:rPr>
            <w:rStyle w:val="ReportHyperlink"/>
            <w:i/>
            <w:iCs/>
          </w:rPr>
          <w:t>État d</w:t>
        </w:r>
        <w:r w:rsidR="00A2217C" w:rsidRPr="00DF32D0">
          <w:rPr>
            <w:rStyle w:val="ReportHyperlink"/>
            <w:i/>
            <w:iCs/>
          </w:rPr>
          <w:t>’</w:t>
        </w:r>
        <w:r w:rsidR="00743C0B" w:rsidRPr="00DF32D0">
          <w:rPr>
            <w:rStyle w:val="ReportHyperlink"/>
            <w:i/>
            <w:iCs/>
          </w:rPr>
          <w:t>avancement de la ratification des instruments d</w:t>
        </w:r>
        <w:r w:rsidR="00A2217C" w:rsidRPr="00DF32D0">
          <w:rPr>
            <w:rStyle w:val="ReportHyperlink"/>
            <w:i/>
            <w:iCs/>
          </w:rPr>
          <w:t>’</w:t>
        </w:r>
        <w:r w:rsidR="00743C0B" w:rsidRPr="00DF32D0">
          <w:rPr>
            <w:rStyle w:val="ReportHyperlink"/>
            <w:i/>
            <w:iCs/>
          </w:rPr>
          <w:t>amendement à la Constitution de l</w:t>
        </w:r>
        <w:r w:rsidR="00A2217C" w:rsidRPr="00DF32D0">
          <w:rPr>
            <w:rStyle w:val="ReportHyperlink"/>
            <w:i/>
            <w:iCs/>
          </w:rPr>
          <w:t>’</w:t>
        </w:r>
        <w:r w:rsidR="00743C0B" w:rsidRPr="00DF32D0">
          <w:rPr>
            <w:rStyle w:val="ReportHyperlink"/>
            <w:i/>
            <w:iCs/>
          </w:rPr>
          <w:t>Organisation internationale du Travail de 1986 et de 1997</w:t>
        </w:r>
      </w:hyperlink>
      <w:r w:rsidR="00743C0B" w:rsidRPr="00743C0B">
        <w:t xml:space="preserve">, GB.325/LILS/INF/1, </w:t>
      </w:r>
      <w:r w:rsidR="00743C0B" w:rsidRPr="0052226F">
        <w:t>2015; et OIT,</w:t>
      </w:r>
      <w:r w:rsidR="00743C0B" w:rsidRPr="00743C0B">
        <w:t xml:space="preserve"> </w:t>
      </w:r>
      <w:hyperlink r:id="rId7" w:anchor="page=24" w:history="1">
        <w:r w:rsidR="00743C0B" w:rsidRPr="00DF32D0">
          <w:rPr>
            <w:rStyle w:val="ReportHyperlink"/>
            <w:i/>
            <w:iCs/>
          </w:rPr>
          <w:t>Initiative sur les normes: rapport de la cinquième réunion du Groupe de travail tripartite du mécanisme d</w:t>
        </w:r>
        <w:r w:rsidR="00A2217C" w:rsidRPr="00DF32D0">
          <w:rPr>
            <w:rStyle w:val="ReportHyperlink"/>
            <w:i/>
            <w:iCs/>
          </w:rPr>
          <w:t>’</w:t>
        </w:r>
        <w:r w:rsidR="00743C0B" w:rsidRPr="00DF32D0">
          <w:rPr>
            <w:rStyle w:val="ReportHyperlink"/>
            <w:i/>
            <w:iCs/>
          </w:rPr>
          <w:t>examen des normes</w:t>
        </w:r>
      </w:hyperlink>
      <w:r w:rsidR="00743C0B" w:rsidRPr="00743C0B">
        <w:t>, GB.337/LILS/1</w:t>
      </w:r>
      <w:r w:rsidR="00702611">
        <w:t>, 2019</w:t>
      </w:r>
      <w:r w:rsidR="00743C0B" w:rsidRPr="00743C0B">
        <w:t>, Annexe, Appendice</w:t>
      </w:r>
      <w:r w:rsidR="00743C0B">
        <w:t> </w:t>
      </w:r>
      <w:r w:rsidR="00743C0B" w:rsidRPr="00743C0B">
        <w:t>II.</w:t>
      </w:r>
    </w:p>
  </w:footnote>
  <w:footnote w:id="5">
    <w:p w14:paraId="3DFBE2DB" w14:textId="03170EA5" w:rsidR="00EA0EB8" w:rsidRDefault="00EA0EB8">
      <w:pPr>
        <w:pStyle w:val="FootnoteText"/>
      </w:pPr>
      <w:r>
        <w:rPr>
          <w:rStyle w:val="FootnoteReference"/>
        </w:rPr>
        <w:footnoteRef/>
      </w:r>
      <w:r>
        <w:t> </w:t>
      </w:r>
      <w:r w:rsidR="00743C0B" w:rsidRPr="00743C0B">
        <w:t xml:space="preserve">OIT, </w:t>
      </w:r>
      <w:hyperlink r:id="rId8" w:history="1">
        <w:r w:rsidR="00743C0B" w:rsidRPr="00743C0B">
          <w:rPr>
            <w:rStyle w:val="ReportHyperlink"/>
          </w:rPr>
          <w:t>Résolution concernant l</w:t>
        </w:r>
        <w:r w:rsidR="00A2217C">
          <w:rPr>
            <w:rStyle w:val="ReportHyperlink"/>
          </w:rPr>
          <w:t>’</w:t>
        </w:r>
        <w:r w:rsidR="00743C0B" w:rsidRPr="00743C0B">
          <w:rPr>
            <w:rStyle w:val="ReportHyperlink"/>
          </w:rPr>
          <w:t>inclusion d</w:t>
        </w:r>
        <w:r w:rsidR="00A2217C">
          <w:rPr>
            <w:rStyle w:val="ReportHyperlink"/>
          </w:rPr>
          <w:t>’</w:t>
        </w:r>
        <w:r w:rsidR="00743C0B" w:rsidRPr="00743C0B">
          <w:rPr>
            <w:rStyle w:val="ReportHyperlink"/>
          </w:rPr>
          <w:t>un milieu de travail sûr et salubre dans le cadre des principes et droits fondamentaux au travail de l</w:t>
        </w:r>
        <w:r w:rsidR="00A2217C">
          <w:rPr>
            <w:rStyle w:val="ReportHyperlink"/>
          </w:rPr>
          <w:t>’</w:t>
        </w:r>
        <w:r w:rsidR="00743C0B" w:rsidRPr="00743C0B">
          <w:rPr>
            <w:rStyle w:val="ReportHyperlink"/>
          </w:rPr>
          <w:t>OIT</w:t>
        </w:r>
      </w:hyperlink>
      <w:r w:rsidR="00743C0B" w:rsidRPr="00743C0B">
        <w:t>, Conférence internationale du Travail, 110</w:t>
      </w:r>
      <w:r w:rsidR="00743C0B" w:rsidRPr="00743C0B">
        <w:rPr>
          <w:vertAlign w:val="superscript"/>
        </w:rPr>
        <w:t>e</w:t>
      </w:r>
      <w:r w:rsidR="00743C0B">
        <w:t> </w:t>
      </w:r>
      <w:r w:rsidR="00743C0B" w:rsidRPr="00743C0B">
        <w:t>session, 2022.</w:t>
      </w:r>
    </w:p>
  </w:footnote>
  <w:footnote w:id="6">
    <w:p w14:paraId="2701F3F7" w14:textId="3923C2F6" w:rsidR="00EA0EB8" w:rsidRDefault="00EA0EB8">
      <w:pPr>
        <w:pStyle w:val="FootnoteText"/>
      </w:pPr>
      <w:r>
        <w:rPr>
          <w:rStyle w:val="FootnoteReference"/>
        </w:rPr>
        <w:footnoteRef/>
      </w:r>
      <w:r>
        <w:t> </w:t>
      </w:r>
      <w:r w:rsidR="00743C0B" w:rsidRPr="00743C0B">
        <w:t>Pour plus d</w:t>
      </w:r>
      <w:r w:rsidR="00A2217C">
        <w:t>’</w:t>
      </w:r>
      <w:r w:rsidR="00743C0B" w:rsidRPr="00743C0B">
        <w:t xml:space="preserve">informations, voir OIT, </w:t>
      </w:r>
      <w:hyperlink r:id="rId9" w:history="1">
        <w:r w:rsidR="00743C0B" w:rsidRPr="00743C0B">
          <w:rPr>
            <w:rStyle w:val="ReportHyperlink"/>
          </w:rPr>
          <w:t>Note technique 1.1: Instruments concernant la sécurité et la santé dans l</w:t>
        </w:r>
        <w:r w:rsidR="00A2217C">
          <w:rPr>
            <w:rStyle w:val="ReportHyperlink"/>
          </w:rPr>
          <w:t>’</w:t>
        </w:r>
        <w:r w:rsidR="00743C0B" w:rsidRPr="00743C0B">
          <w:rPr>
            <w:rStyle w:val="ReportHyperlink"/>
          </w:rPr>
          <w:t>exploitation minière</w:t>
        </w:r>
      </w:hyperlink>
      <w:r w:rsidR="00743C0B" w:rsidRPr="00743C0B">
        <w:t xml:space="preserve">, </w:t>
      </w:r>
      <w:r w:rsidR="002F0227">
        <w:t>q</w:t>
      </w:r>
      <w:r w:rsidR="00743C0B" w:rsidRPr="002F0227">
        <w:t>uatrième réunion</w:t>
      </w:r>
      <w:r w:rsidR="00743C0B" w:rsidRPr="00743C0B">
        <w:t xml:space="preserve"> du Groupe de travail tripartite du MEN, 2018.</w:t>
      </w:r>
    </w:p>
  </w:footnote>
  <w:footnote w:id="7">
    <w:p w14:paraId="27AA2D56" w14:textId="02B22CA8" w:rsidR="00EA0EB8" w:rsidRDefault="00EA0EB8">
      <w:pPr>
        <w:pStyle w:val="FootnoteText"/>
      </w:pPr>
      <w:r>
        <w:rPr>
          <w:rStyle w:val="FootnoteReference"/>
        </w:rPr>
        <w:footnoteRef/>
      </w:r>
      <w:r>
        <w:t> </w:t>
      </w:r>
      <w:r w:rsidR="00743C0B" w:rsidRPr="00743C0B">
        <w:t>À sa 268</w:t>
      </w:r>
      <w:r w:rsidR="00743C0B" w:rsidRPr="00743C0B">
        <w:rPr>
          <w:vertAlign w:val="superscript"/>
        </w:rPr>
        <w:t>e</w:t>
      </w:r>
      <w:r w:rsidR="00743C0B">
        <w:t> </w:t>
      </w:r>
      <w:r w:rsidR="00743C0B" w:rsidRPr="00743C0B">
        <w:t>session (mars 1997), le Conseil d</w:t>
      </w:r>
      <w:r w:rsidR="00A2217C">
        <w:t>’</w:t>
      </w:r>
      <w:r w:rsidR="00743C0B" w:rsidRPr="00743C0B">
        <w:t>administration a classé la convention n</w:t>
      </w:r>
      <w:r w:rsidR="00743C0B" w:rsidRPr="00743C0B">
        <w:rPr>
          <w:vertAlign w:val="superscript"/>
        </w:rPr>
        <w:t>o</w:t>
      </w:r>
      <w:r w:rsidR="00743C0B">
        <w:t> </w:t>
      </w:r>
      <w:r w:rsidR="00743C0B" w:rsidRPr="00743C0B">
        <w:t>62 parmi les normes dépassées et invité les États parties à ratifier la convention n</w:t>
      </w:r>
      <w:r w:rsidR="00743C0B" w:rsidRPr="00743C0B">
        <w:rPr>
          <w:vertAlign w:val="superscript"/>
        </w:rPr>
        <w:t>o</w:t>
      </w:r>
      <w:r w:rsidR="00743C0B">
        <w:t> </w:t>
      </w:r>
      <w:r w:rsidR="00743C0B" w:rsidRPr="00743C0B">
        <w:t>167. Le Groupe de travail tripartite du MEN a examiné la convention n</w:t>
      </w:r>
      <w:r w:rsidR="00743C0B" w:rsidRPr="00743C0B">
        <w:rPr>
          <w:vertAlign w:val="superscript"/>
        </w:rPr>
        <w:t>o</w:t>
      </w:r>
      <w:r w:rsidR="00743C0B">
        <w:t> </w:t>
      </w:r>
      <w:r w:rsidR="00743C0B" w:rsidRPr="00743C0B">
        <w:t>62 pour la première fois à sa deuxième réunion, en 2016, et demandé au Bureau d</w:t>
      </w:r>
      <w:r w:rsidR="00A2217C">
        <w:t>’</w:t>
      </w:r>
      <w:r w:rsidR="00743C0B" w:rsidRPr="00743C0B">
        <w:t>assurer le suivi auprès des États Membres liés par cette convention, en les encourageant à ratifier la convention n</w:t>
      </w:r>
      <w:r w:rsidR="00743C0B" w:rsidRPr="00743C0B">
        <w:rPr>
          <w:vertAlign w:val="superscript"/>
        </w:rPr>
        <w:t>o</w:t>
      </w:r>
      <w:r w:rsidR="00743C0B">
        <w:t> </w:t>
      </w:r>
      <w:r w:rsidR="00743C0B" w:rsidRPr="00743C0B">
        <w:t>167, ce qui entraînerait la dénonciation automatique de la convention n</w:t>
      </w:r>
      <w:r w:rsidR="00743C0B" w:rsidRPr="00743C0B">
        <w:rPr>
          <w:vertAlign w:val="superscript"/>
        </w:rPr>
        <w:t>o</w:t>
      </w:r>
      <w:r w:rsidR="00743C0B">
        <w:t> </w:t>
      </w:r>
      <w:r w:rsidR="00743C0B" w:rsidRPr="00743C0B">
        <w:t>62. La convention n</w:t>
      </w:r>
      <w:r w:rsidR="00743C0B" w:rsidRPr="00743C0B">
        <w:rPr>
          <w:vertAlign w:val="superscript"/>
        </w:rPr>
        <w:t>o</w:t>
      </w:r>
      <w:r w:rsidR="00743C0B">
        <w:t> </w:t>
      </w:r>
      <w:r w:rsidR="00743C0B" w:rsidRPr="00743C0B">
        <w:t>62 a de nouveau été examinée par le Groupe de travail tripartite du MEN à sa quatrième réunion, en 2018, à la lumière de ce suivi. Pour plus d</w:t>
      </w:r>
      <w:r w:rsidR="00A2217C">
        <w:t>’</w:t>
      </w:r>
      <w:r w:rsidR="00743C0B" w:rsidRPr="00743C0B">
        <w:t xml:space="preserve">informations, voir OIT, </w:t>
      </w:r>
      <w:hyperlink r:id="rId10" w:history="1">
        <w:r w:rsidR="00743C0B" w:rsidRPr="00743C0B">
          <w:rPr>
            <w:rStyle w:val="ReportHyperlink"/>
          </w:rPr>
          <w:t>Note technique 1.2: Instruments concernant la sécurité et la santé dans la construction</w:t>
        </w:r>
      </w:hyperlink>
      <w:r w:rsidR="00743C0B" w:rsidRPr="00743C0B">
        <w:t xml:space="preserve">, </w:t>
      </w:r>
      <w:r w:rsidR="002F0227" w:rsidRPr="002F0227">
        <w:t>q</w:t>
      </w:r>
      <w:r w:rsidR="00743C0B" w:rsidRPr="002F0227">
        <w:t>uatrième réunion</w:t>
      </w:r>
      <w:r w:rsidR="00743C0B" w:rsidRPr="00743C0B">
        <w:t xml:space="preserve"> du Groupe de travail tripartite du MEN, 2018.</w:t>
      </w:r>
    </w:p>
  </w:footnote>
  <w:footnote w:id="8">
    <w:p w14:paraId="02477030" w14:textId="3582CE1C" w:rsidR="00EA0EB8" w:rsidRDefault="00EA0EB8">
      <w:pPr>
        <w:pStyle w:val="FootnoteText"/>
      </w:pPr>
      <w:r>
        <w:rPr>
          <w:rStyle w:val="FootnoteReference"/>
        </w:rPr>
        <w:footnoteRef/>
      </w:r>
      <w:r>
        <w:t> </w:t>
      </w:r>
      <w:r w:rsidR="00743C0B" w:rsidRPr="00743C0B">
        <w:t>À sa 268</w:t>
      </w:r>
      <w:r w:rsidR="00743C0B" w:rsidRPr="00847A21">
        <w:rPr>
          <w:vertAlign w:val="superscript"/>
        </w:rPr>
        <w:t>e</w:t>
      </w:r>
      <w:r w:rsidR="00847A21">
        <w:t> </w:t>
      </w:r>
      <w:r w:rsidR="00743C0B" w:rsidRPr="00743C0B">
        <w:t>session (mars 1997), le Conseil d</w:t>
      </w:r>
      <w:r w:rsidR="00A2217C">
        <w:t>’</w:t>
      </w:r>
      <w:r w:rsidR="00743C0B" w:rsidRPr="00743C0B">
        <w:t>administration a classé la convention n</w:t>
      </w:r>
      <w:r w:rsidR="00847A21" w:rsidRPr="00847A21">
        <w:rPr>
          <w:vertAlign w:val="superscript"/>
        </w:rPr>
        <w:t>o</w:t>
      </w:r>
      <w:r w:rsidR="00847A21">
        <w:t> </w:t>
      </w:r>
      <w:r w:rsidR="00743C0B" w:rsidRPr="00743C0B">
        <w:t>63 dans la catégorie des instruments dépassés et a invité les États parties à ratifier la convention n</w:t>
      </w:r>
      <w:r w:rsidR="00847A21" w:rsidRPr="00847A21">
        <w:rPr>
          <w:vertAlign w:val="superscript"/>
        </w:rPr>
        <w:t>o</w:t>
      </w:r>
      <w:r w:rsidR="00847A21">
        <w:t> </w:t>
      </w:r>
      <w:r w:rsidR="00743C0B" w:rsidRPr="00743C0B">
        <w:t>160. Le Groupe de travail tripartite du MEN a examiné la convention n</w:t>
      </w:r>
      <w:r w:rsidR="00847A21" w:rsidRPr="00847A21">
        <w:rPr>
          <w:vertAlign w:val="superscript"/>
        </w:rPr>
        <w:t>o</w:t>
      </w:r>
      <w:r w:rsidR="00847A21">
        <w:t> </w:t>
      </w:r>
      <w:r w:rsidR="00743C0B" w:rsidRPr="00743C0B">
        <w:t>63 pour la première fois à sa deuxième réunion, en 2016, et demandé au Bureau d</w:t>
      </w:r>
      <w:r w:rsidR="00A2217C">
        <w:t>’</w:t>
      </w:r>
      <w:r w:rsidR="00743C0B" w:rsidRPr="00743C0B">
        <w:t>assurer le suivi auprès des États Membres liés par cette convention, en les encourageant à ratifier la convention n</w:t>
      </w:r>
      <w:r w:rsidR="00847A21" w:rsidRPr="00847A21">
        <w:rPr>
          <w:vertAlign w:val="superscript"/>
        </w:rPr>
        <w:t>o</w:t>
      </w:r>
      <w:r w:rsidR="00847A21">
        <w:t> </w:t>
      </w:r>
      <w:r w:rsidR="00743C0B" w:rsidRPr="00743C0B">
        <w:t>160, ce qui entraînerait la dénonciation automatique de la convention n</w:t>
      </w:r>
      <w:r w:rsidR="00847A21" w:rsidRPr="00847A21">
        <w:rPr>
          <w:vertAlign w:val="superscript"/>
        </w:rPr>
        <w:t>o</w:t>
      </w:r>
      <w:r w:rsidR="00847A21">
        <w:t> </w:t>
      </w:r>
      <w:r w:rsidR="00743C0B" w:rsidRPr="00743C0B">
        <w:t>63. La convention n</w:t>
      </w:r>
      <w:r w:rsidR="00847A21" w:rsidRPr="00847A21">
        <w:rPr>
          <w:vertAlign w:val="superscript"/>
        </w:rPr>
        <w:t>o</w:t>
      </w:r>
      <w:r w:rsidR="00847A21">
        <w:t> </w:t>
      </w:r>
      <w:r w:rsidR="00743C0B" w:rsidRPr="00743C0B">
        <w:t>63 a de nouveau été examinée par le Groupe de travail tripartite du MEN à sa quatrième réunion, en 2018, à la lumière de ce suivi. Pour plus d</w:t>
      </w:r>
      <w:r w:rsidR="00A2217C">
        <w:t>’</w:t>
      </w:r>
      <w:r w:rsidR="00743C0B" w:rsidRPr="00743C0B">
        <w:t xml:space="preserve">informations, voir OIT, </w:t>
      </w:r>
      <w:hyperlink r:id="rId11" w:history="1">
        <w:r w:rsidR="00743C0B" w:rsidRPr="00847A21">
          <w:rPr>
            <w:rStyle w:val="ReportHyperlink"/>
          </w:rPr>
          <w:t>Note technique</w:t>
        </w:r>
        <w:r w:rsidR="00847A21" w:rsidRPr="00847A21">
          <w:rPr>
            <w:rStyle w:val="ReportHyperlink"/>
          </w:rPr>
          <w:t> </w:t>
        </w:r>
        <w:r w:rsidR="00743C0B" w:rsidRPr="00847A21">
          <w:rPr>
            <w:rStyle w:val="ReportHyperlink"/>
          </w:rPr>
          <w:t>3.1: Instruments concernant les statistiques du travail</w:t>
        </w:r>
      </w:hyperlink>
      <w:r w:rsidR="00743C0B" w:rsidRPr="00743C0B">
        <w:t xml:space="preserve">, </w:t>
      </w:r>
      <w:r w:rsidR="002F0227" w:rsidRPr="002F0227">
        <w:t>q</w:t>
      </w:r>
      <w:r w:rsidR="00743C0B" w:rsidRPr="002F0227">
        <w:t>uatrième réunion</w:t>
      </w:r>
      <w:r w:rsidR="00743C0B" w:rsidRPr="00743C0B">
        <w:t xml:space="preserve"> du Groupe de travail tripartite du MEN, 2018.</w:t>
      </w:r>
    </w:p>
  </w:footnote>
  <w:footnote w:id="9">
    <w:p w14:paraId="1C80EE59" w14:textId="6C0A979F" w:rsidR="00CD7683" w:rsidRDefault="00CD7683">
      <w:pPr>
        <w:pStyle w:val="FootnoteText"/>
      </w:pPr>
      <w:r>
        <w:rPr>
          <w:rStyle w:val="FootnoteReference"/>
        </w:rPr>
        <w:footnoteRef/>
      </w:r>
      <w:r>
        <w:t> </w:t>
      </w:r>
      <w:r w:rsidR="00847A21" w:rsidRPr="00847A21">
        <w:t>Pour plus d</w:t>
      </w:r>
      <w:r w:rsidR="00A2217C">
        <w:t>’</w:t>
      </w:r>
      <w:r w:rsidR="00847A21" w:rsidRPr="00847A21">
        <w:t xml:space="preserve">informations, voir OIT, </w:t>
      </w:r>
      <w:hyperlink r:id="rId12" w:history="1">
        <w:r w:rsidR="00847A21" w:rsidRPr="00BC116B">
          <w:rPr>
            <w:rStyle w:val="ReportHyperlink"/>
          </w:rPr>
          <w:t>Note technique 2.1: Instrument concernant l</w:t>
        </w:r>
        <w:r w:rsidR="00A2217C">
          <w:rPr>
            <w:rStyle w:val="ReportHyperlink"/>
          </w:rPr>
          <w:t>’</w:t>
        </w:r>
        <w:r w:rsidR="00847A21" w:rsidRPr="00BC116B">
          <w:rPr>
            <w:rStyle w:val="ReportHyperlink"/>
          </w:rPr>
          <w:t>inspection du travail dans les territoires non métropolitains</w:t>
        </w:r>
      </w:hyperlink>
      <w:r w:rsidR="00847A21" w:rsidRPr="00847A21">
        <w:t xml:space="preserve">, </w:t>
      </w:r>
      <w:r w:rsidR="002F0227" w:rsidRPr="002F0227">
        <w:t>q</w:t>
      </w:r>
      <w:r w:rsidR="00847A21" w:rsidRPr="002F0227">
        <w:t>uatrième réunion</w:t>
      </w:r>
      <w:r w:rsidR="00847A21" w:rsidRPr="00847A21">
        <w:t xml:space="preserve"> du Groupe de travail tripartite du MEN,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8" w:type="dxa"/>
      <w:tblCellMar>
        <w:left w:w="0" w:type="dxa"/>
        <w:right w:w="0" w:type="dxa"/>
      </w:tblCellMar>
      <w:tblLook w:val="04A0" w:firstRow="1" w:lastRow="0" w:firstColumn="1" w:lastColumn="0" w:noHBand="0" w:noVBand="1"/>
    </w:tblPr>
    <w:tblGrid>
      <w:gridCol w:w="1134"/>
      <w:gridCol w:w="8504"/>
    </w:tblGrid>
    <w:tr w:rsidR="00153DDA" w:rsidRPr="006573A9" w14:paraId="67D4206A" w14:textId="77777777" w:rsidTr="00153DDA">
      <w:tc>
        <w:tcPr>
          <w:tcW w:w="1134" w:type="dxa"/>
        </w:tcPr>
        <w:p w14:paraId="5CFE64D4" w14:textId="77777777" w:rsidR="00153DDA" w:rsidRPr="007F5D20" w:rsidRDefault="00153DDA" w:rsidP="002B76AE">
          <w:pPr>
            <w:pStyle w:val="ReportPageNumberleft"/>
          </w:pPr>
          <w:r w:rsidRPr="00D20E6F">
            <w:fldChar w:fldCharType="begin"/>
          </w:r>
          <w:r w:rsidRPr="00D20E6F">
            <w:instrText xml:space="preserve"> PAGE  \* Arabic  \* MERGEFORMAT </w:instrText>
          </w:r>
          <w:r w:rsidRPr="00D20E6F">
            <w:fldChar w:fldCharType="separate"/>
          </w:r>
          <w:r>
            <w:t>2</w:t>
          </w:r>
          <w:r w:rsidRPr="00D20E6F">
            <w:fldChar w:fldCharType="end"/>
          </w:r>
        </w:p>
      </w:tc>
      <w:tc>
        <w:tcPr>
          <w:tcW w:w="8504" w:type="dxa"/>
        </w:tcPr>
        <w:p w14:paraId="266F109A" w14:textId="772529B5" w:rsidR="00153DDA" w:rsidRDefault="00F82ECE" w:rsidP="005B1D1D">
          <w:pPr>
            <w:pStyle w:val="ReportHeaderReportTitleevenpage"/>
          </w:pPr>
          <w:r>
            <w:fldChar w:fldCharType="begin"/>
          </w:r>
          <w:r>
            <w:instrText xml:space="preserve"> STYLEREF  "Report Title"  \* MERGEFORMAT </w:instrText>
          </w:r>
          <w:r>
            <w:fldChar w:fldCharType="separate"/>
          </w:r>
          <w:r>
            <w:rPr>
              <w:noProof/>
            </w:rPr>
            <w:t>Abrogation de quatre conventions internationales du travail</w:t>
          </w:r>
          <w:r>
            <w:rPr>
              <w:noProof/>
            </w:rPr>
            <w:fldChar w:fldCharType="end"/>
          </w:r>
        </w:p>
        <w:p w14:paraId="0DDCB9E4" w14:textId="7F949F8A" w:rsidR="00153DDA" w:rsidRPr="00D20E6F" w:rsidRDefault="00B11BE3" w:rsidP="00181192">
          <w:pPr>
            <w:pStyle w:val="ReportHeaderChapterTitleevenpage"/>
          </w:pPr>
          <w:fldSimple w:instr=" STYLEREF  &quot;Report Chapter&quot;  \* MERGEFORMAT ">
            <w:r w:rsidR="00F82ECE">
              <w:rPr>
                <w:noProof/>
              </w:rPr>
              <w:t>Statut des conventions internationales du travail dont l’abrogation est proposée</w:t>
            </w:r>
          </w:fldSimple>
        </w:p>
      </w:tc>
    </w:tr>
  </w:tbl>
  <w:p w14:paraId="4FEC7260" w14:textId="77777777" w:rsidR="00153DDA" w:rsidRDefault="00153DDA" w:rsidP="003A5000">
    <w:pPr>
      <w:pStyle w:val="ReportPa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8" w:type="dxa"/>
      <w:tblCellMar>
        <w:left w:w="0" w:type="dxa"/>
        <w:right w:w="0" w:type="dxa"/>
      </w:tblCellMar>
      <w:tblLook w:val="04A0" w:firstRow="1" w:lastRow="0" w:firstColumn="1" w:lastColumn="0" w:noHBand="0" w:noVBand="1"/>
    </w:tblPr>
    <w:tblGrid>
      <w:gridCol w:w="8504"/>
      <w:gridCol w:w="1134"/>
    </w:tblGrid>
    <w:tr w:rsidR="00153DDA" w:rsidRPr="009968B6" w14:paraId="71EDA5E4" w14:textId="77777777" w:rsidTr="00153DDA">
      <w:tc>
        <w:tcPr>
          <w:tcW w:w="8504" w:type="dxa"/>
        </w:tcPr>
        <w:p w14:paraId="5EDB5F9B" w14:textId="0C153AC0" w:rsidR="00153DDA" w:rsidRDefault="00F82ECE" w:rsidP="00181192">
          <w:pPr>
            <w:pStyle w:val="ReportHeaderReportTitleoddpage"/>
          </w:pPr>
          <w:r>
            <w:fldChar w:fldCharType="begin"/>
          </w:r>
          <w:r>
            <w:instrText xml:space="preserve"> STYLEREF  "Report Title"  \* MERGEFORMAT </w:instrText>
          </w:r>
          <w:r>
            <w:fldChar w:fldCharType="separate"/>
          </w:r>
          <w:r>
            <w:rPr>
              <w:noProof/>
            </w:rPr>
            <w:t>Abrogation de quatre conventions internationales du travail</w:t>
          </w:r>
          <w:r>
            <w:rPr>
              <w:noProof/>
            </w:rPr>
            <w:fldChar w:fldCharType="end"/>
          </w:r>
        </w:p>
        <w:p w14:paraId="20EFACF4" w14:textId="12BDDD89" w:rsidR="00153DDA" w:rsidRPr="007F5D20" w:rsidRDefault="00F82ECE" w:rsidP="00181192">
          <w:pPr>
            <w:pStyle w:val="ReportHeaderChapterTitleoddpage"/>
          </w:pPr>
          <w:r>
            <w:fldChar w:fldCharType="begin"/>
          </w:r>
          <w:r>
            <w:instrText xml:space="preserve"> STYLEREF  "Report Chapter"  \* MERGEFORMAT </w:instrText>
          </w:r>
          <w:r>
            <w:fldChar w:fldCharType="separate"/>
          </w:r>
          <w:r>
            <w:rPr>
              <w:noProof/>
            </w:rPr>
            <w:t>Statut des conventions internationales du travail dont l’abrogation est proposée</w:t>
          </w:r>
          <w:r>
            <w:rPr>
              <w:noProof/>
            </w:rPr>
            <w:fldChar w:fldCharType="end"/>
          </w:r>
        </w:p>
      </w:tc>
      <w:tc>
        <w:tcPr>
          <w:tcW w:w="1134" w:type="dxa"/>
        </w:tcPr>
        <w:p w14:paraId="25CAD8D8" w14:textId="77777777" w:rsidR="00153DDA" w:rsidRPr="00D20E6F" w:rsidRDefault="00153DDA" w:rsidP="002B76AE">
          <w:pPr>
            <w:pStyle w:val="ReportPageNumberright"/>
          </w:pPr>
          <w:r w:rsidRPr="00D20E6F">
            <w:fldChar w:fldCharType="begin"/>
          </w:r>
          <w:r w:rsidRPr="00D20E6F">
            <w:instrText xml:space="preserve"> PAGE  \* Arabic  \* MERGEFORMAT </w:instrText>
          </w:r>
          <w:r w:rsidRPr="00D20E6F">
            <w:fldChar w:fldCharType="separate"/>
          </w:r>
          <w:r>
            <w:t>2</w:t>
          </w:r>
          <w:r w:rsidRPr="00D20E6F">
            <w:fldChar w:fldCharType="end"/>
          </w:r>
        </w:p>
      </w:tc>
    </w:tr>
  </w:tbl>
  <w:p w14:paraId="45020A59" w14:textId="77777777" w:rsidR="00153DDA" w:rsidRPr="009E5F34" w:rsidRDefault="00153DDA" w:rsidP="003A5000">
    <w:pPr>
      <w:pStyle w:val="ReportPar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1" w:type="dxa"/>
      <w:tblLayout w:type="fixed"/>
      <w:tblCellMar>
        <w:left w:w="0" w:type="dxa"/>
        <w:right w:w="0" w:type="dxa"/>
      </w:tblCellMar>
      <w:tblLook w:val="04A0" w:firstRow="1" w:lastRow="0" w:firstColumn="1" w:lastColumn="0" w:noHBand="0" w:noVBand="1"/>
      <w:tblCaption w:val="SEC"/>
    </w:tblPr>
    <w:tblGrid>
      <w:gridCol w:w="8220"/>
      <w:gridCol w:w="2551"/>
    </w:tblGrid>
    <w:tr w:rsidR="00153DDA" w:rsidRPr="005A64D3" w14:paraId="7C5FEE29" w14:textId="77777777" w:rsidTr="0013723E">
      <w:trPr>
        <w:trHeight w:val="113"/>
      </w:trPr>
      <w:tc>
        <w:tcPr>
          <w:tcW w:w="8220" w:type="dxa"/>
        </w:tcPr>
        <w:p w14:paraId="7C3FB8D3" w14:textId="77777777" w:rsidR="00153DDA" w:rsidRPr="005A64D3" w:rsidRDefault="00153DDA" w:rsidP="003A5000">
          <w:pPr>
            <w:pStyle w:val="ReportPara"/>
          </w:pPr>
        </w:p>
      </w:tc>
      <w:tc>
        <w:tcPr>
          <w:tcW w:w="2551" w:type="dxa"/>
          <w:shd w:val="clear" w:color="auto" w:fill="auto"/>
          <w:vAlign w:val="bottom"/>
        </w:tcPr>
        <w:p w14:paraId="33A281F2" w14:textId="77777777" w:rsidR="00153DDA" w:rsidRPr="005A64D3" w:rsidRDefault="00153DDA" w:rsidP="003A5000">
          <w:pPr>
            <w:pStyle w:val="ReportPara"/>
            <w:rPr>
              <w:b/>
            </w:rPr>
          </w:pPr>
        </w:p>
      </w:tc>
    </w:tr>
    <w:tr w:rsidR="00E12688" w:rsidRPr="0053754B" w14:paraId="4EF8070C" w14:textId="77777777" w:rsidTr="0013723E">
      <w:trPr>
        <w:trHeight w:val="374"/>
      </w:trPr>
      <w:tc>
        <w:tcPr>
          <w:tcW w:w="8220" w:type="dxa"/>
        </w:tcPr>
        <w:p w14:paraId="0740A584" w14:textId="77777777" w:rsidR="00E12688" w:rsidRPr="005A64D3" w:rsidRDefault="00E12688" w:rsidP="00E12688">
          <w:pPr>
            <w:pStyle w:val="ILCReportSessionLabel"/>
          </w:pPr>
          <w:r w:rsidRPr="008F5A7D">
            <w:rPr>
              <w:lang w:val="fr-CH"/>
            </w:rPr>
            <w:t>Conférence internationale du Travail</w:t>
          </w:r>
          <w:r w:rsidRPr="00C60F6F">
            <w:rPr>
              <w:lang w:val="de-DE"/>
            </w:rPr>
            <w:t xml:space="preserve">, </w:t>
          </w:r>
          <w:r w:rsidR="00F604DC">
            <w:rPr>
              <w:lang w:val="de-DE"/>
            </w:rPr>
            <w:t>112ᵉ session, 2024</w:t>
          </w:r>
        </w:p>
      </w:tc>
      <w:tc>
        <w:tcPr>
          <w:tcW w:w="2551" w:type="dxa"/>
          <w:shd w:val="clear" w:color="auto" w:fill="1E2DBE"/>
        </w:tcPr>
        <w:p w14:paraId="561A6DED" w14:textId="77777777" w:rsidR="00E12688" w:rsidRPr="00E12688" w:rsidRDefault="004A1D70" w:rsidP="004A1D70">
          <w:pPr>
            <w:pStyle w:val="ReportAcronym"/>
          </w:pPr>
          <w:r w:rsidRPr="004A1D70">
            <w:rPr>
              <w:lang w:val="en-GB"/>
            </w:rPr>
            <w:t>ILC.</w:t>
          </w:r>
          <w:r w:rsidR="00F604DC">
            <w:rPr>
              <w:lang w:val="en-GB"/>
            </w:rPr>
            <w:t>112/</w:t>
          </w:r>
          <w:proofErr w:type="gramStart"/>
          <w:r w:rsidR="00F604DC">
            <w:rPr>
              <w:lang w:val="en-GB"/>
            </w:rPr>
            <w:t>VII(</w:t>
          </w:r>
          <w:proofErr w:type="gramEnd"/>
          <w:r w:rsidR="00F604DC">
            <w:rPr>
              <w:lang w:val="en-GB"/>
            </w:rPr>
            <w:t>1)</w:t>
          </w:r>
        </w:p>
      </w:tc>
    </w:tr>
  </w:tbl>
  <w:p w14:paraId="1C332B0F" w14:textId="77777777" w:rsidR="00153DDA" w:rsidRPr="0053754B" w:rsidRDefault="00153DDA" w:rsidP="003A5000">
    <w:pPr>
      <w:pStyle w:val="ReportPar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7E9E2" w14:textId="77777777" w:rsidR="00153DDA" w:rsidRPr="0053754B" w:rsidRDefault="00153DDA" w:rsidP="003A5000">
    <w:pPr>
      <w:pStyle w:val="ReportPar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8" w:type="dxa"/>
      <w:tblCellMar>
        <w:left w:w="0" w:type="dxa"/>
        <w:right w:w="0" w:type="dxa"/>
      </w:tblCellMar>
      <w:tblLook w:val="04A0" w:firstRow="1" w:lastRow="0" w:firstColumn="1" w:lastColumn="0" w:noHBand="0" w:noVBand="1"/>
    </w:tblPr>
    <w:tblGrid>
      <w:gridCol w:w="8504"/>
      <w:gridCol w:w="1134"/>
    </w:tblGrid>
    <w:tr w:rsidR="00153DDA" w:rsidRPr="009968B6" w14:paraId="366D6744" w14:textId="77777777" w:rsidTr="00153DDA">
      <w:tc>
        <w:tcPr>
          <w:tcW w:w="8504" w:type="dxa"/>
        </w:tcPr>
        <w:p w14:paraId="2748E1F3" w14:textId="79FBFC0E" w:rsidR="00153DDA" w:rsidRDefault="00F82ECE" w:rsidP="005B1D1D">
          <w:pPr>
            <w:pStyle w:val="ReportHeaderReportTitleoddpage"/>
          </w:pPr>
          <w:r>
            <w:fldChar w:fldCharType="begin"/>
          </w:r>
          <w:r>
            <w:instrText xml:space="preserve"> STYLEREF  "Report Title"  \* MERGEFORMAT </w:instrText>
          </w:r>
          <w:r>
            <w:fldChar w:fldCharType="separate"/>
          </w:r>
          <w:r>
            <w:rPr>
              <w:noProof/>
            </w:rPr>
            <w:t>Abrogation de quatre conventions internationales du travail</w:t>
          </w:r>
          <w:r>
            <w:rPr>
              <w:noProof/>
            </w:rPr>
            <w:fldChar w:fldCharType="end"/>
          </w:r>
        </w:p>
        <w:p w14:paraId="3210F0C8" w14:textId="77777777" w:rsidR="00153DDA" w:rsidRPr="007F5D20" w:rsidRDefault="00153DDA" w:rsidP="005B1D1D">
          <w:pPr>
            <w:pStyle w:val="ReportHeaderChapterTitleoddpage"/>
          </w:pPr>
        </w:p>
      </w:tc>
      <w:tc>
        <w:tcPr>
          <w:tcW w:w="1134" w:type="dxa"/>
        </w:tcPr>
        <w:p w14:paraId="4EF209C3" w14:textId="77777777" w:rsidR="00153DDA" w:rsidRPr="00D20E6F" w:rsidRDefault="00153DDA" w:rsidP="003A5000">
          <w:pPr>
            <w:pStyle w:val="ReportPageNumberright"/>
          </w:pPr>
          <w:r w:rsidRPr="00D20E6F">
            <w:fldChar w:fldCharType="begin"/>
          </w:r>
          <w:r w:rsidRPr="00D20E6F">
            <w:instrText xml:space="preserve"> PAGE  \* Arabic  \* MERGEFORMAT </w:instrText>
          </w:r>
          <w:r w:rsidRPr="00D20E6F">
            <w:fldChar w:fldCharType="separate"/>
          </w:r>
          <w:r>
            <w:t>2</w:t>
          </w:r>
          <w:r w:rsidRPr="00D20E6F">
            <w:fldChar w:fldCharType="end"/>
          </w:r>
        </w:p>
      </w:tc>
    </w:tr>
  </w:tbl>
  <w:p w14:paraId="1E1F64FC" w14:textId="77777777" w:rsidR="00153DDA" w:rsidRPr="0053754B" w:rsidRDefault="00153DDA" w:rsidP="003A5000">
    <w:pPr>
      <w:pStyle w:val="ReportPa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5FB3"/>
    <w:multiLevelType w:val="multilevel"/>
    <w:tmpl w:val="BA9EFA0A"/>
    <w:styleLink w:val="Table-Box-Graphictitle"/>
    <w:lvl w:ilvl="0">
      <w:start w:val="1"/>
      <w:numFmt w:val="bullet"/>
      <w:pStyle w:val="ReportTableTitleF"/>
      <w:lvlText w:val=""/>
      <w:lvlJc w:val="left"/>
      <w:pPr>
        <w:ind w:left="227" w:hanging="227"/>
      </w:pPr>
      <w:rPr>
        <w:rFonts w:ascii="Wingdings 3" w:hAnsi="Wingdings 3" w:cs="Wingdings 3" w:hint="default"/>
        <w:color w:val="1E2DBE"/>
        <w:sz w:val="18"/>
        <w:szCs w:val="18"/>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1" w15:restartNumberingAfterBreak="0">
    <w:nsid w:val="06105001"/>
    <w:multiLevelType w:val="multilevel"/>
    <w:tmpl w:val="6BCA8DDA"/>
    <w:numStyleLink w:val="Bulletlists"/>
  </w:abstractNum>
  <w:abstractNum w:abstractNumId="2" w15:restartNumberingAfterBreak="0">
    <w:nsid w:val="07654C4C"/>
    <w:multiLevelType w:val="multilevel"/>
    <w:tmpl w:val="2334D5F0"/>
    <w:styleLink w:val="Appendix"/>
    <w:lvl w:ilvl="0">
      <w:start w:val="1"/>
      <w:numFmt w:val="decimal"/>
      <w:lvlText w:val="%1."/>
      <w:lvlJc w:val="left"/>
      <w:pPr>
        <w:ind w:left="567" w:hanging="567"/>
      </w:pPr>
      <w:rPr>
        <w:rFonts w:ascii="Noto Sans" w:eastAsia="Noto Sans SC Regular" w:hAnsi="Noto Sans" w:cs="Noto Sans" w:hint="default"/>
        <w:b w:val="0"/>
        <w:bCs w:val="0"/>
        <w:i w:val="0"/>
        <w:iCs w:val="0"/>
        <w:caps w:val="0"/>
        <w:strike w:val="0"/>
        <w:dstrike w:val="0"/>
        <w:outline w:val="0"/>
        <w:shadow w:val="0"/>
        <w:emboss w:val="0"/>
        <w:imprint w:val="0"/>
        <w:snapToGrid w:val="0"/>
        <w:vanish w:val="0"/>
        <w:color w:val="auto"/>
        <w:spacing w:val="0"/>
        <w:kern w:val="0"/>
        <w:position w:val="0"/>
        <w:sz w:val="20"/>
        <w:szCs w:val="2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304" w:hanging="453"/>
      </w:pPr>
      <w:rPr>
        <w:rFonts w:hint="default"/>
      </w:rPr>
    </w:lvl>
    <w:lvl w:ilvl="2">
      <w:start w:val="1"/>
      <w:numFmt w:val="lowerRoman"/>
      <w:lvlText w:val="(%3)"/>
      <w:lvlJc w:val="right"/>
      <w:pPr>
        <w:ind w:left="1814"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C402776"/>
    <w:multiLevelType w:val="hybridMultilevel"/>
    <w:tmpl w:val="65C6CEBA"/>
    <w:lvl w:ilvl="0" w:tplc="E816492A">
      <w:numFmt w:val="bullet"/>
      <w:lvlText w:val=""/>
      <w:lvlJc w:val="left"/>
      <w:pPr>
        <w:ind w:left="720" w:hanging="360"/>
      </w:pPr>
      <w:rPr>
        <w:rFonts w:ascii="Wingdings" w:eastAsiaTheme="minorHAnsi" w:hAnsi="Wingdings" w:cs="Noto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A13410"/>
    <w:multiLevelType w:val="multilevel"/>
    <w:tmpl w:val="9AA63D1C"/>
    <w:styleLink w:val="Appendixbulletlists"/>
    <w:lvl w:ilvl="0">
      <w:start w:val="1"/>
      <w:numFmt w:val="bullet"/>
      <w:lvlText w:val=""/>
      <w:lvlJc w:val="left"/>
      <w:pPr>
        <w:tabs>
          <w:tab w:val="num" w:pos="851"/>
        </w:tabs>
        <w:ind w:left="794" w:hanging="227"/>
      </w:pPr>
      <w:rPr>
        <w:rFonts w:ascii="Symbol" w:hAnsi="Symbol" w:cs="Symbol" w:hint="default"/>
        <w:b w:val="0"/>
        <w:i w:val="0"/>
        <w:color w:val="auto"/>
        <w:sz w:val="24"/>
        <w:szCs w:val="24"/>
      </w:rPr>
    </w:lvl>
    <w:lvl w:ilvl="1">
      <w:start w:val="1"/>
      <w:numFmt w:val="bullet"/>
      <w:lvlText w:val=""/>
      <w:lvlJc w:val="left"/>
      <w:pPr>
        <w:ind w:left="1021" w:hanging="227"/>
      </w:pPr>
      <w:rPr>
        <w:rFonts w:ascii="Symbol" w:hAnsi="Symbol" w:cs="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D5F1B64"/>
    <w:multiLevelType w:val="multilevel"/>
    <w:tmpl w:val="87BA8674"/>
    <w:numStyleLink w:val="ParaNumletterlist"/>
  </w:abstractNum>
  <w:abstractNum w:abstractNumId="6" w15:restartNumberingAfterBreak="0">
    <w:nsid w:val="15B97E65"/>
    <w:multiLevelType w:val="multilevel"/>
    <w:tmpl w:val="1F0C92F4"/>
    <w:styleLink w:val="Boxlist"/>
    <w:lvl w:ilvl="0">
      <w:start w:val="1"/>
      <w:numFmt w:val="decimal"/>
      <w:lvlText w:val="%1."/>
      <w:lvlJc w:val="left"/>
      <w:pPr>
        <w:ind w:left="340" w:hanging="340"/>
      </w:pPr>
      <w:rPr>
        <w:rFonts w:ascii="Noto Sans" w:eastAsia="Noto Sans SC Regular" w:hAnsi="Noto Sans" w:cs="Noto Sans" w:hint="default"/>
        <w:b w:val="0"/>
        <w:bCs w:val="0"/>
        <w:i w:val="0"/>
        <w:iCs w:val="0"/>
        <w:color w:val="000000" w:themeColor="text1"/>
        <w:sz w:val="18"/>
        <w:szCs w:val="18"/>
      </w:rPr>
    </w:lvl>
    <w:lvl w:ilvl="1">
      <w:start w:val="1"/>
      <w:numFmt w:val="lowerLetter"/>
      <w:pStyle w:val="BoxIndentletterlistF"/>
      <w:lvlText w:val="%2)"/>
      <w:lvlJc w:val="left"/>
      <w:pPr>
        <w:ind w:left="680" w:hanging="340"/>
      </w:pPr>
      <w:rPr>
        <w:rFonts w:ascii="Noto Sans" w:hAnsi="Noto Sans" w:cs="Noto Sans" w:hint="default"/>
        <w:b w:val="0"/>
        <w:bCs w:val="0"/>
        <w:i/>
        <w:iCs/>
        <w:sz w:val="18"/>
        <w:szCs w:val="18"/>
      </w:rPr>
    </w:lvl>
    <w:lvl w:ilvl="2">
      <w:start w:val="1"/>
      <w:numFmt w:val="lowerRoman"/>
      <w:lvlText w:val="%3)"/>
      <w:lvlJc w:val="left"/>
      <w:pPr>
        <w:ind w:left="1021" w:hanging="341"/>
      </w:pPr>
      <w:rPr>
        <w:rFonts w:hint="default"/>
        <w:sz w:val="18"/>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15:restartNumberingAfterBreak="0">
    <w:nsid w:val="16F15BE9"/>
    <w:multiLevelType w:val="multilevel"/>
    <w:tmpl w:val="A9BE7AA6"/>
    <w:lvl w:ilvl="0">
      <w:start w:val="1"/>
      <w:numFmt w:val="bullet"/>
      <w:pStyle w:val="ReportAcronym"/>
      <w:lvlText w:val=""/>
      <w:lvlJc w:val="left"/>
      <w:pPr>
        <w:ind w:left="284" w:hanging="227"/>
      </w:pPr>
      <w:rPr>
        <w:rFonts w:ascii="Wingdings 3" w:hAnsi="Wingdings 3" w:cs="Wingdings 3" w:hint="default"/>
        <w:b w:val="0"/>
        <w:bCs w:val="0"/>
        <w:i w:val="0"/>
        <w:iCs w:val="0"/>
        <w:color w:val="FFFFFF" w:themeColor="background1"/>
        <w:sz w:val="19"/>
        <w:szCs w:val="19"/>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8" w15:restartNumberingAfterBreak="0">
    <w:nsid w:val="18E700DF"/>
    <w:multiLevelType w:val="multilevel"/>
    <w:tmpl w:val="C6AE82E6"/>
    <w:lvl w:ilvl="0">
      <w:start w:val="1"/>
      <w:numFmt w:val="decimal"/>
      <w:pStyle w:val="ReportParaNumnotboldAppendix"/>
      <w:lvlText w:val="%1."/>
      <w:lvlJc w:val="left"/>
      <w:pPr>
        <w:ind w:left="567" w:hanging="567"/>
      </w:pPr>
      <w:rPr>
        <w:rFonts w:ascii="Noto Sans" w:eastAsia="Noto Sans SC Regular" w:hAnsi="Noto Sans" w:cs="Noto Sans" w:hint="default"/>
        <w:b w:val="0"/>
        <w:bCs w:val="0"/>
        <w:i w:val="0"/>
        <w:iCs w:val="0"/>
        <w:caps w:val="0"/>
        <w:strike w:val="0"/>
        <w:dstrike w:val="0"/>
        <w:outline w:val="0"/>
        <w:shadow w:val="0"/>
        <w:emboss w:val="0"/>
        <w:imprint w:val="0"/>
        <w:snapToGrid w:val="0"/>
        <w:vanish w:val="0"/>
        <w:color w:val="auto"/>
        <w:spacing w:val="0"/>
        <w:kern w:val="0"/>
        <w:position w:val="0"/>
        <w:sz w:val="20"/>
        <w:szCs w:val="2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021" w:hanging="454"/>
      </w:pPr>
      <w:rPr>
        <w:rFonts w:hint="default"/>
      </w:rPr>
    </w:lvl>
    <w:lvl w:ilvl="2">
      <w:start w:val="1"/>
      <w:numFmt w:val="lowerRoman"/>
      <w:lvlText w:val="(%3)"/>
      <w:lvlJc w:val="right"/>
      <w:pPr>
        <w:ind w:left="1531"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FB935A7"/>
    <w:multiLevelType w:val="multilevel"/>
    <w:tmpl w:val="BA9EFA0A"/>
    <w:numStyleLink w:val="Table-Box-Graphictitle"/>
  </w:abstractNum>
  <w:abstractNum w:abstractNumId="10" w15:restartNumberingAfterBreak="0">
    <w:nsid w:val="2C9E7514"/>
    <w:multiLevelType w:val="multilevel"/>
    <w:tmpl w:val="6BCA8DDA"/>
    <w:styleLink w:val="Bulletlists"/>
    <w:lvl w:ilvl="0">
      <w:start w:val="1"/>
      <w:numFmt w:val="bullet"/>
      <w:lvlText w:val=""/>
      <w:lvlJc w:val="left"/>
      <w:pPr>
        <w:tabs>
          <w:tab w:val="num" w:pos="851"/>
        </w:tabs>
        <w:ind w:left="794" w:hanging="227"/>
      </w:pPr>
      <w:rPr>
        <w:rFonts w:ascii="Symbol" w:hAnsi="Symbol" w:cs="Times New Roman" w:hint="default"/>
        <w:b w:val="0"/>
        <w:i w:val="0"/>
        <w:color w:val="1E2DBE"/>
        <w:sz w:val="24"/>
        <w:szCs w:val="24"/>
      </w:rPr>
    </w:lvl>
    <w:lvl w:ilvl="1">
      <w:start w:val="1"/>
      <w:numFmt w:val="bullet"/>
      <w:pStyle w:val="ReportIndentbluebulletlist2"/>
      <w:lvlText w:val=""/>
      <w:lvlJc w:val="left"/>
      <w:pPr>
        <w:ind w:left="1021" w:hanging="227"/>
      </w:pPr>
      <w:rPr>
        <w:rFonts w:ascii="Symbol" w:hAnsi="Symbol" w:cs="Symbol" w:hint="default"/>
        <w:color w:val="1E2DB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DF01AC6"/>
    <w:multiLevelType w:val="multilevel"/>
    <w:tmpl w:val="E07E03F0"/>
    <w:lvl w:ilvl="0">
      <w:start w:val="1"/>
      <w:numFmt w:val="bullet"/>
      <w:pStyle w:val="ReportIndentblackbulletlist1Appendix"/>
      <w:lvlText w:val=""/>
      <w:lvlJc w:val="left"/>
      <w:pPr>
        <w:ind w:left="794" w:hanging="227"/>
      </w:pPr>
      <w:rPr>
        <w:rFonts w:ascii="Symbol" w:hAnsi="Symbol" w:cs="Times New Roman" w:hint="default"/>
        <w:b w:val="0"/>
        <w:i w:val="0"/>
        <w:color w:val="auto"/>
        <w:sz w:val="24"/>
        <w:szCs w:val="24"/>
      </w:rPr>
    </w:lvl>
    <w:lvl w:ilvl="1">
      <w:start w:val="1"/>
      <w:numFmt w:val="bullet"/>
      <w:pStyle w:val="ReportIndentblackbulletlist2Appendix"/>
      <w:lvlText w:val=""/>
      <w:lvlJc w:val="left"/>
      <w:pPr>
        <w:ind w:left="1021" w:hanging="227"/>
      </w:pPr>
      <w:rPr>
        <w:rFonts w:ascii="Symbol" w:hAnsi="Symbol" w:cs="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6AA5A76"/>
    <w:multiLevelType w:val="multilevel"/>
    <w:tmpl w:val="F836D776"/>
    <w:lvl w:ilvl="0">
      <w:start w:val="1"/>
      <w:numFmt w:val="decimal"/>
      <w:pStyle w:val="ReportParaNum"/>
      <w:lvlText w:val="%1."/>
      <w:lvlJc w:val="left"/>
      <w:pPr>
        <w:ind w:left="567" w:hanging="567"/>
      </w:pPr>
      <w:rPr>
        <w:rFonts w:ascii="Noto Sans" w:eastAsia="Noto Sans SC Regular" w:hAnsi="Noto Sans" w:cs="Noto Sans" w:hint="default"/>
        <w:b/>
        <w:bCs/>
        <w:i w:val="0"/>
        <w:iCs w:val="0"/>
        <w:color w:val="auto"/>
        <w:sz w:val="20"/>
        <w:szCs w:val="20"/>
      </w:rPr>
    </w:lvl>
    <w:lvl w:ilvl="1">
      <w:start w:val="1"/>
      <w:numFmt w:val="lowerLetter"/>
      <w:lvlText w:val="(%2)"/>
      <w:lvlJc w:val="left"/>
      <w:pPr>
        <w:ind w:left="1021" w:hanging="454"/>
      </w:pPr>
      <w:rPr>
        <w:rFonts w:hint="default"/>
      </w:rPr>
    </w:lvl>
    <w:lvl w:ilvl="2">
      <w:start w:val="1"/>
      <w:numFmt w:val="lowerRoman"/>
      <w:lvlText w:val="(%3)"/>
      <w:lvlJc w:val="left"/>
      <w:pPr>
        <w:ind w:left="1531"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B2707A7"/>
    <w:multiLevelType w:val="hybridMultilevel"/>
    <w:tmpl w:val="DE7E1AB6"/>
    <w:lvl w:ilvl="0" w:tplc="165E957A">
      <w:start w:val="1"/>
      <w:numFmt w:val="bullet"/>
      <w:lvlText w:val=""/>
      <w:lvlJc w:val="left"/>
      <w:pPr>
        <w:ind w:left="720" w:hanging="360"/>
      </w:pPr>
      <w:rPr>
        <w:rFonts w:ascii="Wingdings" w:eastAsiaTheme="minorHAnsi" w:hAnsi="Wingdings" w:cs="Noto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BCC1C2A"/>
    <w:multiLevelType w:val="multilevel"/>
    <w:tmpl w:val="671E4172"/>
    <w:styleLink w:val="Chapters"/>
    <w:lvl w:ilvl="0">
      <w:start w:val="1"/>
      <w:numFmt w:val="bullet"/>
      <w:pStyle w:val="ReportChapter"/>
      <w:lvlText w:val=""/>
      <w:lvlJc w:val="left"/>
      <w:pPr>
        <w:ind w:left="340" w:hanging="340"/>
      </w:pPr>
      <w:rPr>
        <w:rFonts w:ascii="Wingdings 3" w:hAnsi="Wingdings 3" w:cs="Wingdings 3" w:hint="default"/>
        <w:b w:val="0"/>
        <w:i w:val="0"/>
        <w:color w:val="FA3C4B"/>
        <w:sz w:val="32"/>
        <w:szCs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CDF4F4B"/>
    <w:multiLevelType w:val="multilevel"/>
    <w:tmpl w:val="31BAFEFC"/>
    <w:numStyleLink w:val="Reporttitle"/>
  </w:abstractNum>
  <w:abstractNum w:abstractNumId="16" w15:restartNumberingAfterBreak="0">
    <w:nsid w:val="54191733"/>
    <w:multiLevelType w:val="multilevel"/>
    <w:tmpl w:val="918AE082"/>
    <w:lvl w:ilvl="0">
      <w:start w:val="1"/>
      <w:numFmt w:val="bullet"/>
      <w:pStyle w:val="BoxIndentbluebulletlist1"/>
      <w:lvlText w:val=""/>
      <w:lvlJc w:val="left"/>
      <w:pPr>
        <w:ind w:left="680" w:hanging="340"/>
      </w:pPr>
      <w:rPr>
        <w:rFonts w:ascii="Symbol" w:hAnsi="Symbol" w:cs="Times New Roman" w:hint="default"/>
        <w:b w:val="0"/>
        <w:bCs w:val="0"/>
        <w:i w:val="0"/>
        <w:iCs w:val="0"/>
        <w:color w:val="1E2DBE"/>
        <w:sz w:val="22"/>
        <w:szCs w:val="22"/>
      </w:rPr>
    </w:lvl>
    <w:lvl w:ilvl="1">
      <w:start w:val="1"/>
      <w:numFmt w:val="bullet"/>
      <w:pStyle w:val="BoxIndentbluebulletlist2"/>
      <w:lvlText w:val="o"/>
      <w:lvlJc w:val="left"/>
      <w:pPr>
        <w:ind w:left="1021" w:hanging="341"/>
      </w:pPr>
      <w:rPr>
        <w:rFonts w:ascii="Symbol" w:hAnsi="Symbol" w:cs="Noto Sans" w:hint="default"/>
        <w:b w:val="0"/>
        <w:bCs w:val="0"/>
        <w:i w:val="0"/>
        <w:iCs w:val="0"/>
        <w:color w:val="1E2DBE"/>
        <w:sz w:val="18"/>
        <w:szCs w:val="18"/>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7" w15:restartNumberingAfterBreak="0">
    <w:nsid w:val="557777BF"/>
    <w:multiLevelType w:val="multilevel"/>
    <w:tmpl w:val="A5F661DA"/>
    <w:lvl w:ilvl="0">
      <w:start w:val="1"/>
      <w:numFmt w:val="decimal"/>
      <w:pStyle w:val="BoxBodyNumbered"/>
      <w:lvlText w:val="%1."/>
      <w:lvlJc w:val="left"/>
      <w:pPr>
        <w:ind w:left="340" w:hanging="340"/>
      </w:pPr>
      <w:rPr>
        <w:rFonts w:ascii="Noto Sans" w:eastAsia="Noto Sans SC Regular" w:hAnsi="Noto Sans" w:cs="Noto Sans" w:hint="default"/>
        <w:b w:val="0"/>
        <w:bCs w:val="0"/>
        <w:i w:val="0"/>
        <w:iCs w:val="0"/>
        <w:color w:val="000000" w:themeColor="text1"/>
        <w:sz w:val="18"/>
        <w:szCs w:val="18"/>
      </w:rPr>
    </w:lvl>
    <w:lvl w:ilvl="1">
      <w:start w:val="1"/>
      <w:numFmt w:val="lowerLetter"/>
      <w:lvlText w:val="(%2)"/>
      <w:lvlJc w:val="left"/>
      <w:pPr>
        <w:ind w:left="680" w:hanging="340"/>
      </w:pPr>
      <w:rPr>
        <w:rFonts w:hint="default"/>
      </w:rPr>
    </w:lvl>
    <w:lvl w:ilvl="2">
      <w:start w:val="1"/>
      <w:numFmt w:val="lowerRoman"/>
      <w:lvlText w:val="(%3)"/>
      <w:lvlJc w:val="left"/>
      <w:pPr>
        <w:ind w:left="1134" w:hanging="454"/>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15:restartNumberingAfterBreak="0">
    <w:nsid w:val="56850784"/>
    <w:multiLevelType w:val="multilevel"/>
    <w:tmpl w:val="BA9EFA0A"/>
    <w:numStyleLink w:val="Table-Box-Graphictitle"/>
  </w:abstractNum>
  <w:abstractNum w:abstractNumId="19" w15:restartNumberingAfterBreak="0">
    <w:nsid w:val="571F13F7"/>
    <w:multiLevelType w:val="multilevel"/>
    <w:tmpl w:val="87BA8674"/>
    <w:numStyleLink w:val="ParaNumletterlist"/>
  </w:abstractNum>
  <w:abstractNum w:abstractNumId="20" w15:restartNumberingAfterBreak="0">
    <w:nsid w:val="5AB9283C"/>
    <w:multiLevelType w:val="multilevel"/>
    <w:tmpl w:val="1F0C92F4"/>
    <w:numStyleLink w:val="Boxlist"/>
  </w:abstractNum>
  <w:abstractNum w:abstractNumId="21" w15:restartNumberingAfterBreak="0">
    <w:nsid w:val="670A33D6"/>
    <w:multiLevelType w:val="multilevel"/>
    <w:tmpl w:val="31BAFEFC"/>
    <w:styleLink w:val="Reporttitle"/>
    <w:lvl w:ilvl="0">
      <w:start w:val="1"/>
      <w:numFmt w:val="bullet"/>
      <w:pStyle w:val="ReportTitle0"/>
      <w:lvlText w:val=""/>
      <w:lvlJc w:val="left"/>
      <w:pPr>
        <w:ind w:left="567" w:hanging="567"/>
      </w:pPr>
      <w:rPr>
        <w:rFonts w:ascii="Wingdings 3" w:hAnsi="Wingdings 3" w:cs="Wingdings 3" w:hint="default"/>
        <w:color w:val="FA3C4B"/>
        <w:sz w:val="44"/>
        <w:szCs w:val="4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8B708A2"/>
    <w:multiLevelType w:val="multilevel"/>
    <w:tmpl w:val="671E4172"/>
    <w:numStyleLink w:val="Chapters"/>
  </w:abstractNum>
  <w:abstractNum w:abstractNumId="23" w15:restartNumberingAfterBreak="0">
    <w:nsid w:val="72D47391"/>
    <w:multiLevelType w:val="multilevel"/>
    <w:tmpl w:val="BA9EFA0A"/>
    <w:numStyleLink w:val="Table-Box-Graphictitle"/>
  </w:abstractNum>
  <w:abstractNum w:abstractNumId="24" w15:restartNumberingAfterBreak="0">
    <w:nsid w:val="757422D0"/>
    <w:multiLevelType w:val="multilevel"/>
    <w:tmpl w:val="BA9EFA0A"/>
    <w:numStyleLink w:val="Table-Box-Graphictitle"/>
  </w:abstractNum>
  <w:abstractNum w:abstractNumId="25" w15:restartNumberingAfterBreak="0">
    <w:nsid w:val="7D51534D"/>
    <w:multiLevelType w:val="multilevel"/>
    <w:tmpl w:val="D0FE5344"/>
    <w:lvl w:ilvl="0">
      <w:start w:val="1"/>
      <w:numFmt w:val="bullet"/>
      <w:lvlText w:val=""/>
      <w:lvlJc w:val="left"/>
      <w:pPr>
        <w:ind w:left="227" w:hanging="227"/>
      </w:pPr>
      <w:rPr>
        <w:rFonts w:ascii="Wingdings 3" w:hAnsi="Wingdings 3" w:cs="Times New Roman" w:hint="default"/>
        <w:color w:val="1E2DBE"/>
        <w:sz w:val="18"/>
        <w:szCs w:val="18"/>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26" w15:restartNumberingAfterBreak="0">
    <w:nsid w:val="7DDD57C4"/>
    <w:multiLevelType w:val="multilevel"/>
    <w:tmpl w:val="D31EC3FC"/>
    <w:lvl w:ilvl="0">
      <w:start w:val="1"/>
      <w:numFmt w:val="bullet"/>
      <w:pStyle w:val="ReportIndentbluebulletlist1"/>
      <w:lvlText w:val=""/>
      <w:lvlJc w:val="left"/>
      <w:pPr>
        <w:ind w:left="794" w:hanging="227"/>
      </w:pPr>
      <w:rPr>
        <w:rFonts w:ascii="Symbol" w:hAnsi="Symbol" w:cs="Times New Roman" w:hint="default"/>
        <w:b w:val="0"/>
        <w:i w:val="0"/>
        <w:color w:val="1E2DBE"/>
        <w:sz w:val="24"/>
        <w:szCs w:val="24"/>
      </w:rPr>
    </w:lvl>
    <w:lvl w:ilvl="1">
      <w:start w:val="1"/>
      <w:numFmt w:val="bullet"/>
      <w:lvlText w:val=""/>
      <w:lvlJc w:val="left"/>
      <w:pPr>
        <w:ind w:left="1021" w:hanging="227"/>
      </w:pPr>
      <w:rPr>
        <w:rFonts w:ascii="Symbol" w:hAnsi="Symbol" w:cs="Symbol" w:hint="default"/>
        <w:color w:val="1E2DB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EC35A92"/>
    <w:multiLevelType w:val="multilevel"/>
    <w:tmpl w:val="87BA8674"/>
    <w:styleLink w:val="ParaNumletterlist"/>
    <w:lvl w:ilvl="0">
      <w:start w:val="1"/>
      <w:numFmt w:val="decimal"/>
      <w:lvlText w:val="%1."/>
      <w:lvlJc w:val="left"/>
      <w:pPr>
        <w:ind w:left="567" w:hanging="567"/>
      </w:pPr>
      <w:rPr>
        <w:rFonts w:ascii="Noto Sans" w:eastAsia="Noto Sans SC Regular" w:hAnsi="Noto Sans" w:cs="Noto Sans" w:hint="default"/>
        <w:b/>
        <w:bCs/>
        <w:i w:val="0"/>
        <w:iCs w:val="0"/>
        <w:color w:val="auto"/>
        <w:sz w:val="20"/>
        <w:szCs w:val="20"/>
      </w:rPr>
    </w:lvl>
    <w:lvl w:ilvl="1">
      <w:start w:val="1"/>
      <w:numFmt w:val="lowerLetter"/>
      <w:pStyle w:val="ReportIndentletterlist1F"/>
      <w:lvlText w:val="%2)"/>
      <w:lvlJc w:val="left"/>
      <w:pPr>
        <w:ind w:left="1077" w:hanging="510"/>
      </w:pPr>
      <w:rPr>
        <w:rFonts w:ascii="Noto Sans" w:hAnsi="Noto Sans" w:cs="Noto Sans" w:hint="default"/>
        <w:b w:val="0"/>
        <w:bCs w:val="0"/>
        <w:i/>
        <w:iCs/>
        <w:sz w:val="20"/>
        <w:szCs w:val="20"/>
      </w:rPr>
    </w:lvl>
    <w:lvl w:ilvl="2">
      <w:start w:val="1"/>
      <w:numFmt w:val="lowerRoman"/>
      <w:pStyle w:val="ReportIndentletterlist2F"/>
      <w:lvlText w:val="%3)"/>
      <w:lvlJc w:val="left"/>
      <w:pPr>
        <w:ind w:left="1588" w:hanging="51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7"/>
  </w:num>
  <w:num w:numId="2">
    <w:abstractNumId w:val="16"/>
  </w:num>
  <w:num w:numId="3">
    <w:abstractNumId w:val="16"/>
  </w:num>
  <w:num w:numId="4">
    <w:abstractNumId w:val="17"/>
  </w:num>
  <w:num w:numId="5">
    <w:abstractNumId w:val="7"/>
  </w:num>
  <w:num w:numId="6">
    <w:abstractNumId w:val="8"/>
  </w:num>
  <w:num w:numId="7">
    <w:abstractNumId w:val="15"/>
  </w:num>
  <w:num w:numId="8">
    <w:abstractNumId w:val="27"/>
  </w:num>
  <w:num w:numId="9">
    <w:abstractNumId w:val="21"/>
  </w:num>
  <w:num w:numId="10">
    <w:abstractNumId w:val="14"/>
  </w:num>
  <w:num w:numId="11">
    <w:abstractNumId w:val="22"/>
    <w:lvlOverride w:ilvl="0">
      <w:lvl w:ilvl="0">
        <w:start w:val="1"/>
        <w:numFmt w:val="bullet"/>
        <w:pStyle w:val="ReportChapter"/>
        <w:lvlText w:val=""/>
        <w:lvlJc w:val="left"/>
        <w:pPr>
          <w:ind w:left="340" w:hanging="340"/>
        </w:pPr>
        <w:rPr>
          <w:rFonts w:ascii="Wingdings 3" w:hAnsi="Wingdings 3" w:cs="Wingdings 3" w:hint="default"/>
          <w:b w:val="0"/>
          <w:i w:val="0"/>
          <w:color w:val="FA3C4B"/>
          <w:sz w:val="32"/>
          <w:szCs w:val="32"/>
        </w:rPr>
      </w:lvl>
    </w:lvlOverride>
  </w:num>
  <w:num w:numId="12">
    <w:abstractNumId w:val="12"/>
  </w:num>
  <w:num w:numId="13">
    <w:abstractNumId w:val="25"/>
  </w:num>
  <w:num w:numId="14">
    <w:abstractNumId w:val="0"/>
  </w:num>
  <w:num w:numId="15">
    <w:abstractNumId w:val="10"/>
  </w:num>
  <w:num w:numId="16">
    <w:abstractNumId w:val="18"/>
  </w:num>
  <w:num w:numId="17">
    <w:abstractNumId w:val="24"/>
  </w:num>
  <w:num w:numId="18">
    <w:abstractNumId w:val="2"/>
  </w:num>
  <w:num w:numId="19">
    <w:abstractNumId w:val="4"/>
  </w:num>
  <w:num w:numId="20">
    <w:abstractNumId w:val="11"/>
  </w:num>
  <w:num w:numId="21">
    <w:abstractNumId w:val="26"/>
  </w:num>
  <w:num w:numId="22">
    <w:abstractNumId w:val="1"/>
  </w:num>
  <w:num w:numId="23">
    <w:abstractNumId w:val="6"/>
  </w:num>
  <w:num w:numId="24">
    <w:abstractNumId w:val="5"/>
  </w:num>
  <w:num w:numId="25">
    <w:abstractNumId w:val="19"/>
  </w:num>
  <w:num w:numId="26">
    <w:abstractNumId w:val="20"/>
  </w:num>
  <w:num w:numId="27">
    <w:abstractNumId w:val="9"/>
  </w:num>
  <w:num w:numId="28">
    <w:abstractNumId w:val="23"/>
  </w:num>
  <w:num w:numId="29">
    <w:abstractNumId w:val="13"/>
  </w:num>
  <w:num w:numId="30">
    <w:abstractNumId w:val="22"/>
    <w:lvlOverride w:ilvl="0">
      <w:lvl w:ilvl="0">
        <w:start w:val="1"/>
        <w:numFmt w:val="bullet"/>
        <w:pStyle w:val="ReportChapter"/>
        <w:lvlText w:val=""/>
        <w:lvlJc w:val="left"/>
        <w:pPr>
          <w:ind w:left="340" w:hanging="340"/>
        </w:pPr>
        <w:rPr>
          <w:rFonts w:ascii="Wingdings 3" w:hAnsi="Wingdings 3" w:cs="Wingdings 3" w:hint="default"/>
          <w:b w:val="0"/>
          <w:i w:val="0"/>
          <w:color w:val="FA3C4B"/>
          <w:sz w:val="32"/>
          <w:szCs w:val="32"/>
        </w:rPr>
      </w:lvl>
    </w:lvlOverride>
  </w:num>
  <w:num w:numId="31">
    <w:abstractNumId w:val="12"/>
  </w:num>
  <w:num w:numId="32">
    <w:abstractNumId w:val="22"/>
    <w:lvlOverride w:ilvl="0">
      <w:lvl w:ilvl="0">
        <w:start w:val="1"/>
        <w:numFmt w:val="bullet"/>
        <w:pStyle w:val="ReportChapter"/>
        <w:lvlText w:val=""/>
        <w:lvlJc w:val="left"/>
        <w:pPr>
          <w:ind w:left="340" w:hanging="340"/>
        </w:pPr>
        <w:rPr>
          <w:rFonts w:ascii="Wingdings 3" w:hAnsi="Wingdings 3" w:cs="Wingdings 3" w:hint="default"/>
          <w:b w:val="0"/>
          <w:i w:val="0"/>
          <w:color w:val="FA3C4B"/>
          <w:sz w:val="32"/>
          <w:szCs w:val="32"/>
        </w:rPr>
      </w:lvl>
    </w:lvlOverride>
  </w:num>
  <w:num w:numId="33">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enforcement="1"/>
  <w:defaultTabStop w:val="709"/>
  <w:hyphenationZone w:val="425"/>
  <w:clickAndTypeStyle w:val="NormalBody"/>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CF7"/>
    <w:rsid w:val="00001168"/>
    <w:rsid w:val="00002E24"/>
    <w:rsid w:val="00006CF6"/>
    <w:rsid w:val="00007FAC"/>
    <w:rsid w:val="00014F73"/>
    <w:rsid w:val="00032119"/>
    <w:rsid w:val="0003715D"/>
    <w:rsid w:val="00040505"/>
    <w:rsid w:val="00042CD4"/>
    <w:rsid w:val="000532D2"/>
    <w:rsid w:val="000574CB"/>
    <w:rsid w:val="0006059F"/>
    <w:rsid w:val="00060D7E"/>
    <w:rsid w:val="00061464"/>
    <w:rsid w:val="000617CD"/>
    <w:rsid w:val="00072B1D"/>
    <w:rsid w:val="000802F9"/>
    <w:rsid w:val="00085247"/>
    <w:rsid w:val="00093506"/>
    <w:rsid w:val="000A44C2"/>
    <w:rsid w:val="000B0CF7"/>
    <w:rsid w:val="000B3E50"/>
    <w:rsid w:val="000B3F8D"/>
    <w:rsid w:val="000C43B1"/>
    <w:rsid w:val="000C4E01"/>
    <w:rsid w:val="000C76E1"/>
    <w:rsid w:val="000D0329"/>
    <w:rsid w:val="000D5894"/>
    <w:rsid w:val="000E5360"/>
    <w:rsid w:val="000F6F99"/>
    <w:rsid w:val="00101975"/>
    <w:rsid w:val="00111560"/>
    <w:rsid w:val="00112320"/>
    <w:rsid w:val="00112384"/>
    <w:rsid w:val="00113BDC"/>
    <w:rsid w:val="00126A6F"/>
    <w:rsid w:val="00133863"/>
    <w:rsid w:val="00133BF9"/>
    <w:rsid w:val="001345DC"/>
    <w:rsid w:val="0013723E"/>
    <w:rsid w:val="00137366"/>
    <w:rsid w:val="0014008D"/>
    <w:rsid w:val="00141C9B"/>
    <w:rsid w:val="00143156"/>
    <w:rsid w:val="001467C1"/>
    <w:rsid w:val="00147B8A"/>
    <w:rsid w:val="001503F2"/>
    <w:rsid w:val="00150A54"/>
    <w:rsid w:val="0015281B"/>
    <w:rsid w:val="001535A3"/>
    <w:rsid w:val="00153DDA"/>
    <w:rsid w:val="00155196"/>
    <w:rsid w:val="001612D7"/>
    <w:rsid w:val="00172CF7"/>
    <w:rsid w:val="00181192"/>
    <w:rsid w:val="00191FF9"/>
    <w:rsid w:val="001A3829"/>
    <w:rsid w:val="001A4BFE"/>
    <w:rsid w:val="001B0C57"/>
    <w:rsid w:val="001B6BEE"/>
    <w:rsid w:val="001B7ED8"/>
    <w:rsid w:val="001C3AB3"/>
    <w:rsid w:val="001D5CB0"/>
    <w:rsid w:val="001F36E5"/>
    <w:rsid w:val="001F646F"/>
    <w:rsid w:val="0020056C"/>
    <w:rsid w:val="00200BC5"/>
    <w:rsid w:val="00206BDB"/>
    <w:rsid w:val="002105BA"/>
    <w:rsid w:val="00213105"/>
    <w:rsid w:val="00220076"/>
    <w:rsid w:val="00220B0C"/>
    <w:rsid w:val="00221837"/>
    <w:rsid w:val="00232D8B"/>
    <w:rsid w:val="00240364"/>
    <w:rsid w:val="00255ABF"/>
    <w:rsid w:val="00257224"/>
    <w:rsid w:val="00261E6A"/>
    <w:rsid w:val="00262C4D"/>
    <w:rsid w:val="00263F35"/>
    <w:rsid w:val="002664F3"/>
    <w:rsid w:val="00273FEE"/>
    <w:rsid w:val="0027406A"/>
    <w:rsid w:val="00280B29"/>
    <w:rsid w:val="00295037"/>
    <w:rsid w:val="002A41B6"/>
    <w:rsid w:val="002A7D6C"/>
    <w:rsid w:val="002B1009"/>
    <w:rsid w:val="002B1E3D"/>
    <w:rsid w:val="002B76AE"/>
    <w:rsid w:val="002C1DFB"/>
    <w:rsid w:val="002C28DB"/>
    <w:rsid w:val="002C4964"/>
    <w:rsid w:val="002D079D"/>
    <w:rsid w:val="002D2C77"/>
    <w:rsid w:val="002D3191"/>
    <w:rsid w:val="002D70F5"/>
    <w:rsid w:val="002D7F37"/>
    <w:rsid w:val="002E4630"/>
    <w:rsid w:val="002F0227"/>
    <w:rsid w:val="002F0BE1"/>
    <w:rsid w:val="002F3A34"/>
    <w:rsid w:val="002F68B2"/>
    <w:rsid w:val="003021A6"/>
    <w:rsid w:val="003113C5"/>
    <w:rsid w:val="003173B2"/>
    <w:rsid w:val="00324EBE"/>
    <w:rsid w:val="00325170"/>
    <w:rsid w:val="00326CBE"/>
    <w:rsid w:val="00332B8C"/>
    <w:rsid w:val="00333318"/>
    <w:rsid w:val="0033665A"/>
    <w:rsid w:val="00343E28"/>
    <w:rsid w:val="0034467A"/>
    <w:rsid w:val="0034519C"/>
    <w:rsid w:val="00347261"/>
    <w:rsid w:val="003639DC"/>
    <w:rsid w:val="00372803"/>
    <w:rsid w:val="003747D0"/>
    <w:rsid w:val="003766A8"/>
    <w:rsid w:val="00376F47"/>
    <w:rsid w:val="00377E13"/>
    <w:rsid w:val="00381672"/>
    <w:rsid w:val="00383ED8"/>
    <w:rsid w:val="003865D7"/>
    <w:rsid w:val="00395613"/>
    <w:rsid w:val="003A01EA"/>
    <w:rsid w:val="003A46A4"/>
    <w:rsid w:val="003A5000"/>
    <w:rsid w:val="003B02C7"/>
    <w:rsid w:val="003B1AEC"/>
    <w:rsid w:val="003B25CD"/>
    <w:rsid w:val="003B5750"/>
    <w:rsid w:val="003B5FCC"/>
    <w:rsid w:val="003B7E83"/>
    <w:rsid w:val="003C3D8D"/>
    <w:rsid w:val="003D357F"/>
    <w:rsid w:val="003E41B9"/>
    <w:rsid w:val="003E46A6"/>
    <w:rsid w:val="003E4C73"/>
    <w:rsid w:val="003E5B0F"/>
    <w:rsid w:val="003F0FB0"/>
    <w:rsid w:val="003F1553"/>
    <w:rsid w:val="003F262D"/>
    <w:rsid w:val="00400148"/>
    <w:rsid w:val="004008F5"/>
    <w:rsid w:val="00402A42"/>
    <w:rsid w:val="00406AEA"/>
    <w:rsid w:val="00411C07"/>
    <w:rsid w:val="004134BB"/>
    <w:rsid w:val="00415D00"/>
    <w:rsid w:val="00416C71"/>
    <w:rsid w:val="004276DB"/>
    <w:rsid w:val="0043721F"/>
    <w:rsid w:val="004455C6"/>
    <w:rsid w:val="004513E5"/>
    <w:rsid w:val="00453E9B"/>
    <w:rsid w:val="00455AD3"/>
    <w:rsid w:val="00456CD7"/>
    <w:rsid w:val="00460FE9"/>
    <w:rsid w:val="0046708A"/>
    <w:rsid w:val="00471B49"/>
    <w:rsid w:val="00471DB0"/>
    <w:rsid w:val="00471E6F"/>
    <w:rsid w:val="00473648"/>
    <w:rsid w:val="004743DE"/>
    <w:rsid w:val="00474C14"/>
    <w:rsid w:val="00475D29"/>
    <w:rsid w:val="00486B4D"/>
    <w:rsid w:val="00486FB6"/>
    <w:rsid w:val="00491BB2"/>
    <w:rsid w:val="004978F5"/>
    <w:rsid w:val="004A1D70"/>
    <w:rsid w:val="004A46BC"/>
    <w:rsid w:val="004B1DEC"/>
    <w:rsid w:val="004B3E08"/>
    <w:rsid w:val="004B62AF"/>
    <w:rsid w:val="004C2061"/>
    <w:rsid w:val="004D344C"/>
    <w:rsid w:val="004E05BF"/>
    <w:rsid w:val="004E2BE0"/>
    <w:rsid w:val="004E399D"/>
    <w:rsid w:val="004E3CD9"/>
    <w:rsid w:val="004E59E1"/>
    <w:rsid w:val="004E5D30"/>
    <w:rsid w:val="004F42DD"/>
    <w:rsid w:val="004F66BB"/>
    <w:rsid w:val="00502045"/>
    <w:rsid w:val="00503D89"/>
    <w:rsid w:val="0050682A"/>
    <w:rsid w:val="005116CA"/>
    <w:rsid w:val="005136B9"/>
    <w:rsid w:val="0051442A"/>
    <w:rsid w:val="00515BC3"/>
    <w:rsid w:val="0051747A"/>
    <w:rsid w:val="0052226F"/>
    <w:rsid w:val="005230B7"/>
    <w:rsid w:val="00531EE4"/>
    <w:rsid w:val="00537244"/>
    <w:rsid w:val="005431CD"/>
    <w:rsid w:val="005506D6"/>
    <w:rsid w:val="005556BD"/>
    <w:rsid w:val="00556F66"/>
    <w:rsid w:val="0056345F"/>
    <w:rsid w:val="005709D5"/>
    <w:rsid w:val="00573892"/>
    <w:rsid w:val="00576CCB"/>
    <w:rsid w:val="005833D5"/>
    <w:rsid w:val="00586D8D"/>
    <w:rsid w:val="005A124F"/>
    <w:rsid w:val="005A3C71"/>
    <w:rsid w:val="005B066C"/>
    <w:rsid w:val="005B0D4A"/>
    <w:rsid w:val="005B1673"/>
    <w:rsid w:val="005B1D1D"/>
    <w:rsid w:val="005B2C89"/>
    <w:rsid w:val="005B79AA"/>
    <w:rsid w:val="005C2529"/>
    <w:rsid w:val="005C4B5C"/>
    <w:rsid w:val="005C6502"/>
    <w:rsid w:val="005D64CA"/>
    <w:rsid w:val="005D73F3"/>
    <w:rsid w:val="005E2197"/>
    <w:rsid w:val="005F027F"/>
    <w:rsid w:val="005F271E"/>
    <w:rsid w:val="005F3AFE"/>
    <w:rsid w:val="005F40C1"/>
    <w:rsid w:val="005F6F50"/>
    <w:rsid w:val="00601CA6"/>
    <w:rsid w:val="00601E8F"/>
    <w:rsid w:val="00613B2D"/>
    <w:rsid w:val="00613D92"/>
    <w:rsid w:val="0062135F"/>
    <w:rsid w:val="00624D4A"/>
    <w:rsid w:val="0062541A"/>
    <w:rsid w:val="00632774"/>
    <w:rsid w:val="0063385B"/>
    <w:rsid w:val="006340A4"/>
    <w:rsid w:val="0063433F"/>
    <w:rsid w:val="006416A2"/>
    <w:rsid w:val="006464E1"/>
    <w:rsid w:val="00650560"/>
    <w:rsid w:val="0065241A"/>
    <w:rsid w:val="006573A9"/>
    <w:rsid w:val="00660647"/>
    <w:rsid w:val="00673C3F"/>
    <w:rsid w:val="006776A7"/>
    <w:rsid w:val="006818AD"/>
    <w:rsid w:val="006824D5"/>
    <w:rsid w:val="00692892"/>
    <w:rsid w:val="00692D2A"/>
    <w:rsid w:val="006951B1"/>
    <w:rsid w:val="0069552E"/>
    <w:rsid w:val="006A3DB4"/>
    <w:rsid w:val="006C1A71"/>
    <w:rsid w:val="006C6811"/>
    <w:rsid w:val="006D36B4"/>
    <w:rsid w:val="006D3BAD"/>
    <w:rsid w:val="006D4C4B"/>
    <w:rsid w:val="006F1B06"/>
    <w:rsid w:val="00702611"/>
    <w:rsid w:val="00702CE9"/>
    <w:rsid w:val="007041E1"/>
    <w:rsid w:val="00706284"/>
    <w:rsid w:val="007124DB"/>
    <w:rsid w:val="00714170"/>
    <w:rsid w:val="00716D66"/>
    <w:rsid w:val="00716E5A"/>
    <w:rsid w:val="007171CB"/>
    <w:rsid w:val="007243F9"/>
    <w:rsid w:val="007401C1"/>
    <w:rsid w:val="00742509"/>
    <w:rsid w:val="007432C8"/>
    <w:rsid w:val="00743C0B"/>
    <w:rsid w:val="00754CA1"/>
    <w:rsid w:val="00755D9F"/>
    <w:rsid w:val="007576D8"/>
    <w:rsid w:val="00760B9C"/>
    <w:rsid w:val="0076509B"/>
    <w:rsid w:val="0076545E"/>
    <w:rsid w:val="007718D6"/>
    <w:rsid w:val="0077460F"/>
    <w:rsid w:val="0078384E"/>
    <w:rsid w:val="00785700"/>
    <w:rsid w:val="00791426"/>
    <w:rsid w:val="00794088"/>
    <w:rsid w:val="00795927"/>
    <w:rsid w:val="007A1AF6"/>
    <w:rsid w:val="007A4234"/>
    <w:rsid w:val="007A7786"/>
    <w:rsid w:val="007B2A45"/>
    <w:rsid w:val="007C1AB0"/>
    <w:rsid w:val="007C2742"/>
    <w:rsid w:val="007C5733"/>
    <w:rsid w:val="007C5CA5"/>
    <w:rsid w:val="007C7358"/>
    <w:rsid w:val="007C7E51"/>
    <w:rsid w:val="007D1F9D"/>
    <w:rsid w:val="007D3E00"/>
    <w:rsid w:val="007D66B0"/>
    <w:rsid w:val="007E1A37"/>
    <w:rsid w:val="007E27DC"/>
    <w:rsid w:val="007E688A"/>
    <w:rsid w:val="007E75C5"/>
    <w:rsid w:val="007F262C"/>
    <w:rsid w:val="007F5D20"/>
    <w:rsid w:val="00800259"/>
    <w:rsid w:val="00806F1F"/>
    <w:rsid w:val="00811ADA"/>
    <w:rsid w:val="00830C02"/>
    <w:rsid w:val="008313F8"/>
    <w:rsid w:val="00831596"/>
    <w:rsid w:val="0083231E"/>
    <w:rsid w:val="00832D81"/>
    <w:rsid w:val="00840AED"/>
    <w:rsid w:val="008469E9"/>
    <w:rsid w:val="00847A21"/>
    <w:rsid w:val="008510CF"/>
    <w:rsid w:val="0085420D"/>
    <w:rsid w:val="00877D06"/>
    <w:rsid w:val="00880CA7"/>
    <w:rsid w:val="008826CC"/>
    <w:rsid w:val="00890816"/>
    <w:rsid w:val="00890C7F"/>
    <w:rsid w:val="00890DB1"/>
    <w:rsid w:val="00892BF4"/>
    <w:rsid w:val="00894086"/>
    <w:rsid w:val="008948F9"/>
    <w:rsid w:val="0089513A"/>
    <w:rsid w:val="008968AC"/>
    <w:rsid w:val="008A3145"/>
    <w:rsid w:val="008A6740"/>
    <w:rsid w:val="008B23B9"/>
    <w:rsid w:val="008B2785"/>
    <w:rsid w:val="008B4074"/>
    <w:rsid w:val="008B721B"/>
    <w:rsid w:val="008B7D3B"/>
    <w:rsid w:val="008C1669"/>
    <w:rsid w:val="008C4247"/>
    <w:rsid w:val="008C4B09"/>
    <w:rsid w:val="008C76E7"/>
    <w:rsid w:val="008D543E"/>
    <w:rsid w:val="008D59F1"/>
    <w:rsid w:val="008D63EA"/>
    <w:rsid w:val="008E0C20"/>
    <w:rsid w:val="008E29AE"/>
    <w:rsid w:val="008E5F11"/>
    <w:rsid w:val="008F5A7D"/>
    <w:rsid w:val="008F7839"/>
    <w:rsid w:val="00903140"/>
    <w:rsid w:val="0090398D"/>
    <w:rsid w:val="009121DD"/>
    <w:rsid w:val="009138D9"/>
    <w:rsid w:val="009140A9"/>
    <w:rsid w:val="009252E1"/>
    <w:rsid w:val="00927863"/>
    <w:rsid w:val="00934369"/>
    <w:rsid w:val="00935AE8"/>
    <w:rsid w:val="00936833"/>
    <w:rsid w:val="00936FF5"/>
    <w:rsid w:val="00942AD7"/>
    <w:rsid w:val="009433F0"/>
    <w:rsid w:val="00950608"/>
    <w:rsid w:val="00970F1A"/>
    <w:rsid w:val="0097130F"/>
    <w:rsid w:val="009717DA"/>
    <w:rsid w:val="00977753"/>
    <w:rsid w:val="00982EAF"/>
    <w:rsid w:val="009918A3"/>
    <w:rsid w:val="00991D4D"/>
    <w:rsid w:val="00992D5E"/>
    <w:rsid w:val="00992EB6"/>
    <w:rsid w:val="00996286"/>
    <w:rsid w:val="009972D9"/>
    <w:rsid w:val="009A0456"/>
    <w:rsid w:val="009A7098"/>
    <w:rsid w:val="009B251D"/>
    <w:rsid w:val="009C2707"/>
    <w:rsid w:val="009C35BB"/>
    <w:rsid w:val="009C7946"/>
    <w:rsid w:val="009D5A47"/>
    <w:rsid w:val="009D6786"/>
    <w:rsid w:val="009E24B3"/>
    <w:rsid w:val="009E44AA"/>
    <w:rsid w:val="009E6BA7"/>
    <w:rsid w:val="009F0B37"/>
    <w:rsid w:val="009F57CD"/>
    <w:rsid w:val="009F5D54"/>
    <w:rsid w:val="00A02411"/>
    <w:rsid w:val="00A120A3"/>
    <w:rsid w:val="00A13214"/>
    <w:rsid w:val="00A13664"/>
    <w:rsid w:val="00A15FD5"/>
    <w:rsid w:val="00A21DBB"/>
    <w:rsid w:val="00A2217C"/>
    <w:rsid w:val="00A2748B"/>
    <w:rsid w:val="00A3456C"/>
    <w:rsid w:val="00A3620D"/>
    <w:rsid w:val="00A3684D"/>
    <w:rsid w:val="00A370B4"/>
    <w:rsid w:val="00A3747F"/>
    <w:rsid w:val="00A37842"/>
    <w:rsid w:val="00A4182A"/>
    <w:rsid w:val="00A41B75"/>
    <w:rsid w:val="00A453ED"/>
    <w:rsid w:val="00A51000"/>
    <w:rsid w:val="00A516EF"/>
    <w:rsid w:val="00A54F87"/>
    <w:rsid w:val="00A64864"/>
    <w:rsid w:val="00A7100F"/>
    <w:rsid w:val="00A71812"/>
    <w:rsid w:val="00A73951"/>
    <w:rsid w:val="00A7480B"/>
    <w:rsid w:val="00A764BF"/>
    <w:rsid w:val="00A76EB4"/>
    <w:rsid w:val="00A837E8"/>
    <w:rsid w:val="00A84036"/>
    <w:rsid w:val="00A84D99"/>
    <w:rsid w:val="00A8525E"/>
    <w:rsid w:val="00A909AF"/>
    <w:rsid w:val="00AA3AA3"/>
    <w:rsid w:val="00AA3ACA"/>
    <w:rsid w:val="00AB7CB9"/>
    <w:rsid w:val="00AD33AE"/>
    <w:rsid w:val="00AD357F"/>
    <w:rsid w:val="00AE3063"/>
    <w:rsid w:val="00AE3A50"/>
    <w:rsid w:val="00AF02D9"/>
    <w:rsid w:val="00B02418"/>
    <w:rsid w:val="00B05A9B"/>
    <w:rsid w:val="00B069C6"/>
    <w:rsid w:val="00B07793"/>
    <w:rsid w:val="00B11BE3"/>
    <w:rsid w:val="00B250EB"/>
    <w:rsid w:val="00B3148A"/>
    <w:rsid w:val="00B31EC9"/>
    <w:rsid w:val="00B33FBA"/>
    <w:rsid w:val="00B3530F"/>
    <w:rsid w:val="00B3798A"/>
    <w:rsid w:val="00B41A9B"/>
    <w:rsid w:val="00B46A3D"/>
    <w:rsid w:val="00B52638"/>
    <w:rsid w:val="00B54061"/>
    <w:rsid w:val="00B57D55"/>
    <w:rsid w:val="00B6517C"/>
    <w:rsid w:val="00B6657B"/>
    <w:rsid w:val="00B73B40"/>
    <w:rsid w:val="00B74709"/>
    <w:rsid w:val="00B7734B"/>
    <w:rsid w:val="00B77AB8"/>
    <w:rsid w:val="00B838DB"/>
    <w:rsid w:val="00B83E71"/>
    <w:rsid w:val="00B90FC5"/>
    <w:rsid w:val="00B97CD1"/>
    <w:rsid w:val="00BA4E1F"/>
    <w:rsid w:val="00BB76CE"/>
    <w:rsid w:val="00BC116B"/>
    <w:rsid w:val="00BC21D9"/>
    <w:rsid w:val="00BC6105"/>
    <w:rsid w:val="00BD2192"/>
    <w:rsid w:val="00BD2AA6"/>
    <w:rsid w:val="00BD397B"/>
    <w:rsid w:val="00BD4B5E"/>
    <w:rsid w:val="00BD5784"/>
    <w:rsid w:val="00BD6111"/>
    <w:rsid w:val="00BE2075"/>
    <w:rsid w:val="00BE2C88"/>
    <w:rsid w:val="00BE2D6B"/>
    <w:rsid w:val="00BE4A71"/>
    <w:rsid w:val="00BE5E90"/>
    <w:rsid w:val="00BF0A37"/>
    <w:rsid w:val="00BF1167"/>
    <w:rsid w:val="00BF500E"/>
    <w:rsid w:val="00C006B1"/>
    <w:rsid w:val="00C0181C"/>
    <w:rsid w:val="00C0320F"/>
    <w:rsid w:val="00C03840"/>
    <w:rsid w:val="00C0731E"/>
    <w:rsid w:val="00C07675"/>
    <w:rsid w:val="00C12131"/>
    <w:rsid w:val="00C16D03"/>
    <w:rsid w:val="00C2765C"/>
    <w:rsid w:val="00C318BF"/>
    <w:rsid w:val="00C41DA1"/>
    <w:rsid w:val="00C5095D"/>
    <w:rsid w:val="00C5365E"/>
    <w:rsid w:val="00C60F6F"/>
    <w:rsid w:val="00C624CE"/>
    <w:rsid w:val="00C629D3"/>
    <w:rsid w:val="00C64B77"/>
    <w:rsid w:val="00C71F61"/>
    <w:rsid w:val="00C74611"/>
    <w:rsid w:val="00C76128"/>
    <w:rsid w:val="00C80CF5"/>
    <w:rsid w:val="00C83557"/>
    <w:rsid w:val="00C84C0A"/>
    <w:rsid w:val="00C852E6"/>
    <w:rsid w:val="00C86D67"/>
    <w:rsid w:val="00C87AD6"/>
    <w:rsid w:val="00C92D49"/>
    <w:rsid w:val="00C94A42"/>
    <w:rsid w:val="00CA2845"/>
    <w:rsid w:val="00CB099A"/>
    <w:rsid w:val="00CB1ECF"/>
    <w:rsid w:val="00CB4368"/>
    <w:rsid w:val="00CB67A6"/>
    <w:rsid w:val="00CC0A2E"/>
    <w:rsid w:val="00CC1A30"/>
    <w:rsid w:val="00CC2E26"/>
    <w:rsid w:val="00CD7683"/>
    <w:rsid w:val="00D01DC5"/>
    <w:rsid w:val="00D02634"/>
    <w:rsid w:val="00D0616A"/>
    <w:rsid w:val="00D1107C"/>
    <w:rsid w:val="00D130F7"/>
    <w:rsid w:val="00D137DD"/>
    <w:rsid w:val="00D13F23"/>
    <w:rsid w:val="00D1730E"/>
    <w:rsid w:val="00D17FFA"/>
    <w:rsid w:val="00D2338D"/>
    <w:rsid w:val="00D53891"/>
    <w:rsid w:val="00D57DD1"/>
    <w:rsid w:val="00D60D84"/>
    <w:rsid w:val="00D63996"/>
    <w:rsid w:val="00D66319"/>
    <w:rsid w:val="00D6675E"/>
    <w:rsid w:val="00D67B3B"/>
    <w:rsid w:val="00D71150"/>
    <w:rsid w:val="00D75C2B"/>
    <w:rsid w:val="00D83F6C"/>
    <w:rsid w:val="00D90079"/>
    <w:rsid w:val="00D93A9E"/>
    <w:rsid w:val="00D94078"/>
    <w:rsid w:val="00D979E8"/>
    <w:rsid w:val="00DA3271"/>
    <w:rsid w:val="00DA64EF"/>
    <w:rsid w:val="00DB187B"/>
    <w:rsid w:val="00DB23AF"/>
    <w:rsid w:val="00DB4847"/>
    <w:rsid w:val="00DC4FF8"/>
    <w:rsid w:val="00DC729D"/>
    <w:rsid w:val="00DD12C9"/>
    <w:rsid w:val="00DD2A15"/>
    <w:rsid w:val="00DD59E9"/>
    <w:rsid w:val="00DE2FC1"/>
    <w:rsid w:val="00DF10FF"/>
    <w:rsid w:val="00DF32D0"/>
    <w:rsid w:val="00DF33C3"/>
    <w:rsid w:val="00DF35DE"/>
    <w:rsid w:val="00DF443F"/>
    <w:rsid w:val="00DF792D"/>
    <w:rsid w:val="00DF7FA5"/>
    <w:rsid w:val="00E04DF4"/>
    <w:rsid w:val="00E0570F"/>
    <w:rsid w:val="00E0577E"/>
    <w:rsid w:val="00E06886"/>
    <w:rsid w:val="00E12688"/>
    <w:rsid w:val="00E14768"/>
    <w:rsid w:val="00E16F0B"/>
    <w:rsid w:val="00E218D5"/>
    <w:rsid w:val="00E30BC1"/>
    <w:rsid w:val="00E31F44"/>
    <w:rsid w:val="00E444BB"/>
    <w:rsid w:val="00E50855"/>
    <w:rsid w:val="00E51479"/>
    <w:rsid w:val="00E53ED7"/>
    <w:rsid w:val="00E543BD"/>
    <w:rsid w:val="00E600BB"/>
    <w:rsid w:val="00E600E2"/>
    <w:rsid w:val="00E62AE6"/>
    <w:rsid w:val="00E64CC7"/>
    <w:rsid w:val="00E66C7F"/>
    <w:rsid w:val="00E73FA7"/>
    <w:rsid w:val="00E745A5"/>
    <w:rsid w:val="00E80AEB"/>
    <w:rsid w:val="00E83632"/>
    <w:rsid w:val="00E94EE1"/>
    <w:rsid w:val="00EA0EB8"/>
    <w:rsid w:val="00EB1868"/>
    <w:rsid w:val="00EC3933"/>
    <w:rsid w:val="00EC429B"/>
    <w:rsid w:val="00EC5593"/>
    <w:rsid w:val="00EC65C2"/>
    <w:rsid w:val="00ED458D"/>
    <w:rsid w:val="00ED65FD"/>
    <w:rsid w:val="00ED7DD8"/>
    <w:rsid w:val="00EE10CE"/>
    <w:rsid w:val="00EE1E94"/>
    <w:rsid w:val="00EE3CD0"/>
    <w:rsid w:val="00F1457C"/>
    <w:rsid w:val="00F16E70"/>
    <w:rsid w:val="00F17C80"/>
    <w:rsid w:val="00F20195"/>
    <w:rsid w:val="00F21002"/>
    <w:rsid w:val="00F22DDE"/>
    <w:rsid w:val="00F266B3"/>
    <w:rsid w:val="00F26959"/>
    <w:rsid w:val="00F31AC7"/>
    <w:rsid w:val="00F32378"/>
    <w:rsid w:val="00F32B4C"/>
    <w:rsid w:val="00F32CC9"/>
    <w:rsid w:val="00F35C4E"/>
    <w:rsid w:val="00F37E09"/>
    <w:rsid w:val="00F47901"/>
    <w:rsid w:val="00F604DC"/>
    <w:rsid w:val="00F647B4"/>
    <w:rsid w:val="00F67157"/>
    <w:rsid w:val="00F70871"/>
    <w:rsid w:val="00F72681"/>
    <w:rsid w:val="00F75A77"/>
    <w:rsid w:val="00F77DF8"/>
    <w:rsid w:val="00F812EF"/>
    <w:rsid w:val="00F82ECE"/>
    <w:rsid w:val="00F90011"/>
    <w:rsid w:val="00F90E95"/>
    <w:rsid w:val="00FA192F"/>
    <w:rsid w:val="00FA26E2"/>
    <w:rsid w:val="00FA3111"/>
    <w:rsid w:val="00FA3458"/>
    <w:rsid w:val="00FA60AA"/>
    <w:rsid w:val="00FC3041"/>
    <w:rsid w:val="00FC72EA"/>
    <w:rsid w:val="00FD00B9"/>
    <w:rsid w:val="00FD5A30"/>
    <w:rsid w:val="00FD5B2F"/>
    <w:rsid w:val="00FD7C50"/>
    <w:rsid w:val="00FE009C"/>
    <w:rsid w:val="00FE0AC0"/>
    <w:rsid w:val="00FF01D5"/>
    <w:rsid w:val="00FF1291"/>
    <w:rsid w:val="00FF3D36"/>
    <w:rsid w:val="00FF3F39"/>
    <w:rsid w:val="00FF5261"/>
    <w:rsid w:val="00FF7AE8"/>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2EF9FA94"/>
  <w15:chartTrackingRefBased/>
  <w15:docId w15:val="{296E1399-AFFD-4DAF-B6EF-362607E61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24" w:qFormat="1"/>
    <w:lsdException w:name="heading 2" w:semiHidden="1" w:uiPriority="24" w:qFormat="1"/>
    <w:lsdException w:name="heading 3" w:semiHidden="1" w:uiPriority="24" w:qFormat="1"/>
    <w:lsdException w:name="heading 4" w:semiHidden="1" w:uiPriority="24" w:qFormat="1"/>
    <w:lsdException w:name="heading 5" w:semiHidden="1" w:uiPriority="24" w:qFormat="1"/>
    <w:lsdException w:name="heading 6" w:semiHidden="1" w:uiPriority="24" w:qFormat="1"/>
    <w:lsdException w:name="heading 7" w:semiHidden="1" w:uiPriority="24" w:qFormat="1"/>
    <w:lsdException w:name="heading 8" w:semiHidden="1" w:uiPriority="24" w:qFormat="1"/>
    <w:lsdException w:name="heading 9" w:semiHidden="1" w:uiPriority="24"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31" w:qFormat="1"/>
    <w:lsdException w:name="Emphasis" w:semiHidden="1" w:uiPriority="3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31" w:qFormat="1"/>
    <w:lsdException w:name="Intense Quote" w:semiHidden="1" w:uiPriority="3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1" w:qFormat="1"/>
    <w:lsdException w:name="Intense Emphasis" w:semiHidden="1" w:uiPriority="3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9"/>
    <w:qFormat/>
    <w:rsid w:val="007C7E51"/>
    <w:pPr>
      <w:spacing w:before="120" w:after="120" w:line="264" w:lineRule="auto"/>
    </w:pPr>
    <w:rPr>
      <w:rFonts w:ascii="Noto Sans" w:hAnsi="Noto Sans" w:cs="Noto Sans"/>
      <w:sz w:val="18"/>
      <w:szCs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Body">
    <w:name w:val="Box Body"/>
    <w:link w:val="BoxBodyChar"/>
    <w:uiPriority w:val="12"/>
    <w:qFormat/>
    <w:rsid w:val="00FD00B9"/>
    <w:pPr>
      <w:spacing w:before="60" w:after="60" w:line="240" w:lineRule="auto"/>
      <w:jc w:val="both"/>
    </w:pPr>
    <w:rPr>
      <w:rFonts w:ascii="Noto Sans" w:eastAsia="Noto Sans SC Regular" w:hAnsi="Noto Sans" w:cs="Noto Sans"/>
      <w:sz w:val="18"/>
      <w:szCs w:val="18"/>
      <w:lang w:val="fr-FR"/>
    </w:rPr>
  </w:style>
  <w:style w:type="character" w:customStyle="1" w:styleId="BoxBodyChar">
    <w:name w:val="Box Body Char"/>
    <w:basedOn w:val="DefaultParagraphFont"/>
    <w:link w:val="BoxBody"/>
    <w:uiPriority w:val="12"/>
    <w:rsid w:val="00FD00B9"/>
    <w:rPr>
      <w:rFonts w:ascii="Noto Sans" w:eastAsia="Noto Sans SC Regular" w:hAnsi="Noto Sans" w:cs="Noto Sans"/>
      <w:sz w:val="18"/>
      <w:szCs w:val="18"/>
      <w:lang w:val="fr-FR"/>
    </w:rPr>
  </w:style>
  <w:style w:type="paragraph" w:styleId="Header">
    <w:name w:val="header"/>
    <w:basedOn w:val="NormalBody"/>
    <w:link w:val="HeaderChar"/>
    <w:uiPriority w:val="26"/>
    <w:semiHidden/>
    <w:rsid w:val="004E2BE0"/>
    <w:pPr>
      <w:tabs>
        <w:tab w:val="left" w:pos="227"/>
        <w:tab w:val="right" w:pos="10204"/>
      </w:tabs>
      <w:spacing w:before="0" w:after="0"/>
    </w:pPr>
    <w:rPr>
      <w:rFonts w:cs="Noto Sans SemBd"/>
      <w:bCs/>
      <w:color w:val="1E2DBE"/>
    </w:rPr>
  </w:style>
  <w:style w:type="character" w:customStyle="1" w:styleId="HeaderChar">
    <w:name w:val="Header Char"/>
    <w:basedOn w:val="DefaultParagraphFont"/>
    <w:link w:val="Header"/>
    <w:uiPriority w:val="26"/>
    <w:semiHidden/>
    <w:rsid w:val="003B1AEC"/>
    <w:rPr>
      <w:rFonts w:ascii="Noto Sans" w:hAnsi="Noto Sans" w:cs="Noto Sans SemBd"/>
      <w:bCs/>
      <w:color w:val="1E2DBE"/>
      <w:sz w:val="18"/>
      <w:szCs w:val="18"/>
      <w:lang w:val="en-GB"/>
    </w:rPr>
  </w:style>
  <w:style w:type="paragraph" w:customStyle="1" w:styleId="BoxBodyNumbered">
    <w:name w:val="Box Body Numbered"/>
    <w:link w:val="BoxBodyNumberedChar"/>
    <w:uiPriority w:val="12"/>
    <w:qFormat/>
    <w:rsid w:val="00AD357F"/>
    <w:pPr>
      <w:numPr>
        <w:numId w:val="1"/>
      </w:numPr>
      <w:spacing w:before="60" w:after="60" w:line="240" w:lineRule="auto"/>
      <w:jc w:val="both"/>
    </w:pPr>
    <w:rPr>
      <w:rFonts w:ascii="Noto Sans" w:eastAsia="Noto Sans SC Regular" w:hAnsi="Noto Sans" w:cs="Noto Sans"/>
      <w:sz w:val="18"/>
      <w:szCs w:val="18"/>
      <w:lang w:val="fr-FR"/>
    </w:rPr>
  </w:style>
  <w:style w:type="character" w:customStyle="1" w:styleId="BoxBodyNumberedChar">
    <w:name w:val="Box Body Numbered Char"/>
    <w:basedOn w:val="DefaultParagraphFont"/>
    <w:link w:val="BoxBodyNumbered"/>
    <w:uiPriority w:val="12"/>
    <w:rsid w:val="00AD357F"/>
    <w:rPr>
      <w:rFonts w:ascii="Noto Sans" w:eastAsia="Noto Sans SC Regular" w:hAnsi="Noto Sans" w:cs="Noto Sans"/>
      <w:sz w:val="18"/>
      <w:szCs w:val="18"/>
      <w:lang w:val="fr-FR"/>
    </w:rPr>
  </w:style>
  <w:style w:type="paragraph" w:customStyle="1" w:styleId="NormalBody">
    <w:name w:val="NormalBody"/>
    <w:basedOn w:val="Normal"/>
    <w:uiPriority w:val="19"/>
    <w:semiHidden/>
    <w:qFormat/>
    <w:rsid w:val="004E2BE0"/>
  </w:style>
  <w:style w:type="paragraph" w:customStyle="1" w:styleId="BoxIndent1">
    <w:name w:val="Box Indent 1"/>
    <w:link w:val="BoxIndent1Char"/>
    <w:uiPriority w:val="12"/>
    <w:qFormat/>
    <w:rsid w:val="00FD00B9"/>
    <w:pPr>
      <w:spacing w:before="60" w:after="60" w:line="240" w:lineRule="auto"/>
      <w:ind w:left="680" w:hanging="340"/>
      <w:jc w:val="both"/>
    </w:pPr>
    <w:rPr>
      <w:rFonts w:ascii="Noto Sans" w:eastAsia="Noto Sans SC Regular" w:hAnsi="Noto Sans" w:cs="Noto Sans"/>
      <w:sz w:val="18"/>
      <w:szCs w:val="18"/>
      <w:lang w:val="fr-FR"/>
    </w:rPr>
  </w:style>
  <w:style w:type="character" w:customStyle="1" w:styleId="BoxIndent1Char">
    <w:name w:val="Box Indent 1 Char"/>
    <w:basedOn w:val="DefaultParagraphFont"/>
    <w:link w:val="BoxIndent1"/>
    <w:uiPriority w:val="12"/>
    <w:rsid w:val="00FD00B9"/>
    <w:rPr>
      <w:rFonts w:ascii="Noto Sans" w:eastAsia="Noto Sans SC Regular" w:hAnsi="Noto Sans" w:cs="Noto Sans"/>
      <w:sz w:val="18"/>
      <w:szCs w:val="18"/>
      <w:lang w:val="fr-FR"/>
    </w:rPr>
  </w:style>
  <w:style w:type="paragraph" w:customStyle="1" w:styleId="BoxIndent2">
    <w:name w:val="Box Indent 2"/>
    <w:basedOn w:val="BoxIndent1"/>
    <w:link w:val="BoxIndent2Char"/>
    <w:uiPriority w:val="12"/>
    <w:qFormat/>
    <w:rsid w:val="00FD00B9"/>
    <w:pPr>
      <w:ind w:left="1020"/>
    </w:pPr>
  </w:style>
  <w:style w:type="character" w:customStyle="1" w:styleId="BoxIndent2Char">
    <w:name w:val="Box Indent 2 Char"/>
    <w:basedOn w:val="DefaultParagraphFont"/>
    <w:link w:val="BoxIndent2"/>
    <w:uiPriority w:val="12"/>
    <w:rsid w:val="00FD00B9"/>
    <w:rPr>
      <w:rFonts w:ascii="Noto Sans" w:eastAsia="Noto Sans SC Regular" w:hAnsi="Noto Sans" w:cs="Noto Sans"/>
      <w:sz w:val="18"/>
      <w:szCs w:val="18"/>
      <w:lang w:val="fr-FR"/>
    </w:rPr>
  </w:style>
  <w:style w:type="paragraph" w:customStyle="1" w:styleId="BoxIndentbluebulletlist1">
    <w:name w:val="Box Indent blue bullet list 1"/>
    <w:link w:val="BoxIndentbluebulletlist1Char"/>
    <w:uiPriority w:val="12"/>
    <w:qFormat/>
    <w:rsid w:val="0085420D"/>
    <w:pPr>
      <w:numPr>
        <w:numId w:val="3"/>
      </w:numPr>
      <w:spacing w:after="0" w:line="240" w:lineRule="auto"/>
      <w:jc w:val="both"/>
    </w:pPr>
    <w:rPr>
      <w:rFonts w:ascii="Noto Sans" w:eastAsia="Noto Sans SC Regular" w:hAnsi="Noto Sans" w:cs="Noto Sans"/>
      <w:sz w:val="18"/>
      <w:szCs w:val="18"/>
      <w:lang w:val="fr-FR"/>
    </w:rPr>
  </w:style>
  <w:style w:type="character" w:customStyle="1" w:styleId="BoxIndentbluebulletlist1Char">
    <w:name w:val="Box Indent blue bullet list 1 Char"/>
    <w:basedOn w:val="DefaultParagraphFont"/>
    <w:link w:val="BoxIndentbluebulletlist1"/>
    <w:uiPriority w:val="12"/>
    <w:rsid w:val="0085420D"/>
    <w:rPr>
      <w:rFonts w:ascii="Noto Sans" w:eastAsia="Noto Sans SC Regular" w:hAnsi="Noto Sans" w:cs="Noto Sans"/>
      <w:sz w:val="18"/>
      <w:szCs w:val="18"/>
      <w:lang w:val="fr-FR"/>
    </w:rPr>
  </w:style>
  <w:style w:type="paragraph" w:customStyle="1" w:styleId="BoxIndentbluebulletlist2">
    <w:name w:val="Box Indent blue bullet list 2"/>
    <w:basedOn w:val="BoxIndentbluebulletlist1"/>
    <w:link w:val="BoxIndentbluebulletlist2Char"/>
    <w:uiPriority w:val="12"/>
    <w:qFormat/>
    <w:rsid w:val="0085420D"/>
    <w:pPr>
      <w:numPr>
        <w:ilvl w:val="1"/>
      </w:numPr>
      <w:ind w:left="1020" w:hanging="340"/>
    </w:pPr>
  </w:style>
  <w:style w:type="character" w:customStyle="1" w:styleId="BoxIndentbluebulletlist2Char">
    <w:name w:val="Box Indent blue bullet list 2 Char"/>
    <w:basedOn w:val="DefaultParagraphFont"/>
    <w:link w:val="BoxIndentbluebulletlist2"/>
    <w:uiPriority w:val="12"/>
    <w:rsid w:val="0085420D"/>
    <w:rPr>
      <w:rFonts w:ascii="Noto Sans" w:eastAsia="Noto Sans SC Regular" w:hAnsi="Noto Sans" w:cs="Noto Sans"/>
      <w:sz w:val="18"/>
      <w:szCs w:val="18"/>
      <w:lang w:val="fr-FR"/>
    </w:rPr>
  </w:style>
  <w:style w:type="paragraph" w:customStyle="1" w:styleId="BoxIndentletterlistF">
    <w:name w:val="Box Indent letter list F"/>
    <w:basedOn w:val="BoxBodyNumbered"/>
    <w:link w:val="BoxIndentletterlistFChar"/>
    <w:uiPriority w:val="12"/>
    <w:qFormat/>
    <w:rsid w:val="00AD357F"/>
    <w:pPr>
      <w:numPr>
        <w:ilvl w:val="1"/>
        <w:numId w:val="26"/>
      </w:numPr>
    </w:pPr>
  </w:style>
  <w:style w:type="character" w:customStyle="1" w:styleId="BoxIndentletterlistFChar">
    <w:name w:val="Box Indent letter list F Char"/>
    <w:basedOn w:val="DefaultParagraphFont"/>
    <w:link w:val="BoxIndentletterlistF"/>
    <w:uiPriority w:val="12"/>
    <w:rsid w:val="00AD357F"/>
    <w:rPr>
      <w:rFonts w:ascii="Noto Sans" w:eastAsia="Noto Sans SC Regular" w:hAnsi="Noto Sans" w:cs="Noto Sans"/>
      <w:sz w:val="18"/>
      <w:szCs w:val="18"/>
      <w:lang w:val="fr-FR"/>
    </w:rPr>
  </w:style>
  <w:style w:type="paragraph" w:customStyle="1" w:styleId="ReportQuotationStyle1">
    <w:name w:val="Report Quotation Style 1"/>
    <w:link w:val="ReportQuotationStyle1Char"/>
    <w:uiPriority w:val="15"/>
    <w:qFormat/>
    <w:rsid w:val="00FD00B9"/>
    <w:pPr>
      <w:spacing w:before="60" w:after="60" w:line="240" w:lineRule="auto"/>
      <w:ind w:left="1701"/>
      <w:jc w:val="both"/>
    </w:pPr>
    <w:rPr>
      <w:rFonts w:ascii="Noto Sans" w:eastAsia="Noto Sans SC Regular" w:hAnsi="Noto Sans" w:cs="Noto Sans"/>
      <w:sz w:val="18"/>
      <w:szCs w:val="18"/>
      <w:lang w:val="fr-FR"/>
    </w:rPr>
  </w:style>
  <w:style w:type="character" w:customStyle="1" w:styleId="ReportQuotationStyle1Char">
    <w:name w:val="Report Quotation Style 1 Char"/>
    <w:basedOn w:val="DefaultParagraphFont"/>
    <w:link w:val="ReportQuotationStyle1"/>
    <w:uiPriority w:val="15"/>
    <w:rsid w:val="00FD00B9"/>
    <w:rPr>
      <w:rFonts w:ascii="Noto Sans" w:eastAsia="Noto Sans SC Regular" w:hAnsi="Noto Sans" w:cs="Noto Sans"/>
      <w:sz w:val="18"/>
      <w:szCs w:val="18"/>
      <w:lang w:val="fr-FR"/>
    </w:rPr>
  </w:style>
  <w:style w:type="paragraph" w:customStyle="1" w:styleId="ReportQuotationStyle2QuoteText">
    <w:name w:val="Report Quotation Style 2 Quote Text"/>
    <w:uiPriority w:val="15"/>
    <w:qFormat/>
    <w:rsid w:val="00FD00B9"/>
    <w:pPr>
      <w:spacing w:before="60" w:after="60" w:line="240" w:lineRule="auto"/>
      <w:jc w:val="both"/>
    </w:pPr>
    <w:rPr>
      <w:rFonts w:ascii="Noto Sans" w:eastAsia="Noto Sans SC Regular" w:hAnsi="Noto Sans" w:cs="Noto Sans"/>
      <w:sz w:val="18"/>
      <w:szCs w:val="18"/>
      <w:lang w:val="fr-FR"/>
    </w:rPr>
  </w:style>
  <w:style w:type="paragraph" w:customStyle="1" w:styleId="ReportQuotationStyle2Quotationmarks">
    <w:name w:val="Report Quotation Style 2 Quotation marks"/>
    <w:basedOn w:val="ReportQuotationStyle2QuoteText"/>
    <w:uiPriority w:val="15"/>
    <w:rsid w:val="00FD00B9"/>
    <w:pPr>
      <w:spacing w:before="120"/>
    </w:pPr>
  </w:style>
  <w:style w:type="paragraph" w:customStyle="1" w:styleId="ReportQuotationStyle2QuoteSource">
    <w:name w:val="Report Quotation Style 2 Quote Source"/>
    <w:link w:val="ReportQuotationStyle2QuoteSourceChar"/>
    <w:uiPriority w:val="15"/>
    <w:qFormat/>
    <w:rsid w:val="00FD00B9"/>
    <w:pPr>
      <w:spacing w:before="60" w:after="60" w:line="240" w:lineRule="auto"/>
      <w:jc w:val="both"/>
    </w:pPr>
    <w:rPr>
      <w:rFonts w:ascii="Noto Sans" w:eastAsia="Noto Sans SC Regular" w:hAnsi="Noto Sans" w:cs="Noto Sans"/>
      <w:sz w:val="15"/>
      <w:szCs w:val="15"/>
      <w:lang w:val="fr-FR"/>
    </w:rPr>
  </w:style>
  <w:style w:type="character" w:customStyle="1" w:styleId="ReportQuotationStyle2QuoteSourceChar">
    <w:name w:val="Report Quotation Style 2 Quote Source Char"/>
    <w:basedOn w:val="DefaultParagraphFont"/>
    <w:link w:val="ReportQuotationStyle2QuoteSource"/>
    <w:uiPriority w:val="15"/>
    <w:rsid w:val="00FD00B9"/>
    <w:rPr>
      <w:rFonts w:ascii="Noto Sans" w:eastAsia="Noto Sans SC Regular" w:hAnsi="Noto Sans" w:cs="Noto Sans"/>
      <w:sz w:val="15"/>
      <w:szCs w:val="15"/>
      <w:lang w:val="fr-FR"/>
    </w:rPr>
  </w:style>
  <w:style w:type="paragraph" w:styleId="Footer">
    <w:name w:val="footer"/>
    <w:basedOn w:val="Normal"/>
    <w:link w:val="FooterChar"/>
    <w:uiPriority w:val="99"/>
    <w:semiHidden/>
    <w:rsid w:val="00CC2E26"/>
    <w:pPr>
      <w:tabs>
        <w:tab w:val="center" w:pos="4513"/>
        <w:tab w:val="right" w:pos="9026"/>
      </w:tabs>
      <w:spacing w:before="0" w:after="0" w:line="240" w:lineRule="auto"/>
    </w:pPr>
    <w:rPr>
      <w:rFonts w:eastAsia="Noto Sans SC Regular"/>
      <w:sz w:val="20"/>
      <w:szCs w:val="20"/>
      <w:lang w:eastAsia="zh-CN"/>
    </w:rPr>
  </w:style>
  <w:style w:type="character" w:customStyle="1" w:styleId="FooterChar">
    <w:name w:val="Footer Char"/>
    <w:basedOn w:val="DefaultParagraphFont"/>
    <w:link w:val="Footer"/>
    <w:uiPriority w:val="99"/>
    <w:semiHidden/>
    <w:rsid w:val="00CC2E26"/>
    <w:rPr>
      <w:rFonts w:ascii="Noto Sans" w:eastAsia="Noto Sans SC Regular" w:hAnsi="Noto Sans" w:cs="Noto Sans"/>
      <w:sz w:val="20"/>
      <w:szCs w:val="20"/>
      <w:lang w:val="en-GB" w:eastAsia="zh-CN"/>
    </w:rPr>
  </w:style>
  <w:style w:type="character" w:styleId="FootnoteReference">
    <w:name w:val="footnote reference"/>
    <w:basedOn w:val="DefaultParagraphFont"/>
    <w:uiPriority w:val="6"/>
    <w:rsid w:val="00EB1868"/>
    <w:rPr>
      <w:vertAlign w:val="superscript"/>
      <w:lang w:val="fr-FR"/>
    </w:rPr>
  </w:style>
  <w:style w:type="paragraph" w:customStyle="1" w:styleId="FootnoteSeparator">
    <w:name w:val="Footnote Separator"/>
    <w:link w:val="FootnoteSeparatorChar"/>
    <w:uiPriority w:val="6"/>
    <w:rsid w:val="003D357F"/>
    <w:pPr>
      <w:pBdr>
        <w:bottom w:val="single" w:sz="8" w:space="1" w:color="1E2CBD"/>
      </w:pBdr>
      <w:spacing w:before="120" w:after="60" w:line="240" w:lineRule="auto"/>
      <w:ind w:right="8789"/>
    </w:pPr>
    <w:rPr>
      <w:rFonts w:ascii="Noto Sans" w:eastAsia="Noto Sans SC Regular" w:hAnsi="Noto Sans" w:cs="Noto Sans"/>
      <w:sz w:val="20"/>
      <w:szCs w:val="20"/>
      <w:lang w:val="fr-FR"/>
    </w:rPr>
  </w:style>
  <w:style w:type="character" w:customStyle="1" w:styleId="FootnoteSeparatorChar">
    <w:name w:val="Footnote Separator Char"/>
    <w:basedOn w:val="DefaultParagraphFont"/>
    <w:link w:val="FootnoteSeparator"/>
    <w:uiPriority w:val="6"/>
    <w:rsid w:val="003D357F"/>
    <w:rPr>
      <w:rFonts w:ascii="Noto Sans" w:eastAsia="Noto Sans SC Regular" w:hAnsi="Noto Sans" w:cs="Noto Sans"/>
      <w:sz w:val="20"/>
      <w:szCs w:val="20"/>
      <w:lang w:val="fr-FR"/>
    </w:rPr>
  </w:style>
  <w:style w:type="paragraph" w:styleId="FootnoteText">
    <w:name w:val="footnote text"/>
    <w:link w:val="FootnoteTextChar"/>
    <w:uiPriority w:val="6"/>
    <w:rsid w:val="00EB1868"/>
    <w:pPr>
      <w:spacing w:before="60" w:after="60" w:line="240" w:lineRule="auto"/>
      <w:jc w:val="both"/>
    </w:pPr>
    <w:rPr>
      <w:rFonts w:ascii="Noto Sans" w:eastAsia="Noto Sans SC Regular" w:hAnsi="Noto Sans" w:cs="Noto Sans"/>
      <w:sz w:val="16"/>
      <w:szCs w:val="16"/>
      <w:lang w:val="fr-FR"/>
    </w:rPr>
  </w:style>
  <w:style w:type="character" w:customStyle="1" w:styleId="FootnoteTextChar">
    <w:name w:val="Footnote Text Char"/>
    <w:basedOn w:val="DefaultParagraphFont"/>
    <w:link w:val="FootnoteText"/>
    <w:uiPriority w:val="6"/>
    <w:rsid w:val="00EB1868"/>
    <w:rPr>
      <w:rFonts w:ascii="Noto Sans" w:eastAsia="Noto Sans SC Regular" w:hAnsi="Noto Sans" w:cs="Noto Sans"/>
      <w:sz w:val="16"/>
      <w:szCs w:val="16"/>
      <w:lang w:val="fr-FR"/>
    </w:rPr>
  </w:style>
  <w:style w:type="paragraph" w:customStyle="1" w:styleId="ReportParaIndent">
    <w:name w:val="Report Para Indent"/>
    <w:basedOn w:val="ReportPara"/>
    <w:uiPriority w:val="4"/>
    <w:qFormat/>
    <w:rsid w:val="00EB1868"/>
    <w:pPr>
      <w:ind w:left="567"/>
    </w:pPr>
  </w:style>
  <w:style w:type="numbering" w:customStyle="1" w:styleId="ParaNumletterlist">
    <w:name w:val="ParaNum &amp; letter list"/>
    <w:uiPriority w:val="99"/>
    <w:rsid w:val="006D4C4B"/>
    <w:pPr>
      <w:numPr>
        <w:numId w:val="8"/>
      </w:numPr>
    </w:pPr>
  </w:style>
  <w:style w:type="character" w:styleId="Hyperlink">
    <w:name w:val="Hyperlink"/>
    <w:basedOn w:val="DefaultParagraphFont"/>
    <w:uiPriority w:val="99"/>
    <w:rsid w:val="00153DDA"/>
    <w:rPr>
      <w:color w:val="0563C1" w:themeColor="hyperlink"/>
      <w:u w:val="single"/>
    </w:rPr>
  </w:style>
  <w:style w:type="paragraph" w:customStyle="1" w:styleId="ReportTableTitleF">
    <w:name w:val="Report Table Title F"/>
    <w:next w:val="ReportPara"/>
    <w:uiPriority w:val="13"/>
    <w:qFormat/>
    <w:rsid w:val="00455AD3"/>
    <w:pPr>
      <w:keepNext/>
      <w:keepLines/>
      <w:numPr>
        <w:numId w:val="28"/>
      </w:numPr>
      <w:tabs>
        <w:tab w:val="left" w:pos="1474"/>
      </w:tabs>
      <w:spacing w:before="240" w:after="120" w:line="240" w:lineRule="auto"/>
    </w:pPr>
    <w:rPr>
      <w:rFonts w:ascii="Noto Sans" w:eastAsia="Noto Sans SC Regular" w:hAnsi="Noto Sans" w:cs="Noto Sans"/>
      <w:b/>
      <w:color w:val="1E2DBE"/>
      <w:sz w:val="20"/>
      <w:szCs w:val="20"/>
      <w:lang w:val="fr-FR"/>
    </w:rPr>
  </w:style>
  <w:style w:type="paragraph" w:customStyle="1" w:styleId="ReportBoxTitleF">
    <w:name w:val="Report Box Title F"/>
    <w:basedOn w:val="ReportTableTitleF"/>
    <w:next w:val="ReportPara"/>
    <w:uiPriority w:val="11"/>
    <w:qFormat/>
    <w:rsid w:val="00714170"/>
    <w:pPr>
      <w:numPr>
        <w:numId w:val="27"/>
      </w:numPr>
    </w:pPr>
  </w:style>
  <w:style w:type="numbering" w:customStyle="1" w:styleId="Reporttitle">
    <w:name w:val="Report title"/>
    <w:uiPriority w:val="99"/>
    <w:rsid w:val="00F1457C"/>
    <w:pPr>
      <w:numPr>
        <w:numId w:val="9"/>
      </w:numPr>
    </w:pPr>
  </w:style>
  <w:style w:type="numbering" w:customStyle="1" w:styleId="Chapters">
    <w:name w:val="Chapters"/>
    <w:uiPriority w:val="99"/>
    <w:rsid w:val="00F1457C"/>
    <w:pPr>
      <w:numPr>
        <w:numId w:val="10"/>
      </w:numPr>
    </w:pPr>
  </w:style>
  <w:style w:type="numbering" w:customStyle="1" w:styleId="Table-Box-Graphictitle">
    <w:name w:val="Table-Box-Graphic title"/>
    <w:uiPriority w:val="99"/>
    <w:rsid w:val="005230B7"/>
    <w:pPr>
      <w:numPr>
        <w:numId w:val="14"/>
      </w:numPr>
    </w:pPr>
  </w:style>
  <w:style w:type="numbering" w:customStyle="1" w:styleId="Bulletlists">
    <w:name w:val="Bullet lists"/>
    <w:uiPriority w:val="99"/>
    <w:rsid w:val="005230B7"/>
    <w:pPr>
      <w:numPr>
        <w:numId w:val="15"/>
      </w:numPr>
    </w:pPr>
  </w:style>
  <w:style w:type="numbering" w:customStyle="1" w:styleId="Appendix">
    <w:name w:val="Appendix"/>
    <w:uiPriority w:val="99"/>
    <w:rsid w:val="00673C3F"/>
    <w:pPr>
      <w:numPr>
        <w:numId w:val="18"/>
      </w:numPr>
    </w:pPr>
  </w:style>
  <w:style w:type="paragraph" w:customStyle="1" w:styleId="ReportIndentblackbulletlist1Appendix">
    <w:name w:val="Report Indent black bullet list 1 (Appendix)"/>
    <w:basedOn w:val="ReportIndentbluebulletlist1"/>
    <w:uiPriority w:val="8"/>
    <w:qFormat/>
    <w:rsid w:val="000D5894"/>
    <w:pPr>
      <w:numPr>
        <w:numId w:val="20"/>
      </w:numPr>
      <w:contextualSpacing w:val="0"/>
    </w:pPr>
  </w:style>
  <w:style w:type="paragraph" w:customStyle="1" w:styleId="ReportIndentblackbulletlist2Appendix">
    <w:name w:val="Report Indent black bullet list 2 (Appendix)"/>
    <w:basedOn w:val="ReportIndentbluebulletlist2"/>
    <w:uiPriority w:val="8"/>
    <w:qFormat/>
    <w:rsid w:val="000D5894"/>
    <w:pPr>
      <w:numPr>
        <w:numId w:val="20"/>
      </w:numPr>
      <w:contextualSpacing w:val="0"/>
    </w:pPr>
  </w:style>
  <w:style w:type="numbering" w:customStyle="1" w:styleId="Appendixbulletlists">
    <w:name w:val="Appendix bullet lists"/>
    <w:uiPriority w:val="99"/>
    <w:rsid w:val="008A3145"/>
    <w:pPr>
      <w:numPr>
        <w:numId w:val="19"/>
      </w:numPr>
    </w:pPr>
  </w:style>
  <w:style w:type="paragraph" w:styleId="TableofFigures">
    <w:name w:val="table of figures"/>
    <w:basedOn w:val="Normal"/>
    <w:next w:val="Normal"/>
    <w:uiPriority w:val="99"/>
    <w:semiHidden/>
    <w:rsid w:val="004F66BB"/>
    <w:pPr>
      <w:spacing w:after="0"/>
    </w:pPr>
  </w:style>
  <w:style w:type="numbering" w:customStyle="1" w:styleId="Boxlist">
    <w:name w:val="Box list"/>
    <w:uiPriority w:val="99"/>
    <w:rsid w:val="00AD357F"/>
    <w:pPr>
      <w:numPr>
        <w:numId w:val="23"/>
      </w:numPr>
    </w:pPr>
  </w:style>
  <w:style w:type="paragraph" w:customStyle="1" w:styleId="ReportParaNum">
    <w:name w:val="Report ParaNum"/>
    <w:uiPriority w:val="4"/>
    <w:qFormat/>
    <w:rsid w:val="00AD357F"/>
    <w:pPr>
      <w:numPr>
        <w:numId w:val="12"/>
      </w:numPr>
      <w:spacing w:before="120" w:after="120" w:line="240" w:lineRule="auto"/>
      <w:jc w:val="both"/>
    </w:pPr>
    <w:rPr>
      <w:rFonts w:ascii="Noto Sans" w:eastAsia="Noto Sans SC Regular" w:hAnsi="Noto Sans" w:cs="Noto Sans"/>
      <w:sz w:val="20"/>
      <w:szCs w:val="20"/>
      <w:lang w:val="fr-FR"/>
    </w:rPr>
  </w:style>
  <w:style w:type="paragraph" w:customStyle="1" w:styleId="ReportAcronym">
    <w:name w:val="Report Acronym"/>
    <w:link w:val="ReportAcronymChar"/>
    <w:uiPriority w:val="17"/>
    <w:rsid w:val="00FD00B9"/>
    <w:pPr>
      <w:numPr>
        <w:numId w:val="5"/>
      </w:numPr>
      <w:shd w:val="clear" w:color="auto" w:fill="1E2DBE"/>
      <w:adjustRightInd w:val="0"/>
      <w:spacing w:before="40" w:after="40" w:line="240" w:lineRule="auto"/>
    </w:pPr>
    <w:rPr>
      <w:rFonts w:ascii="Noto Sans" w:eastAsia="Noto Sans SC Regular" w:hAnsi="Noto Sans" w:cs="Noto Sans"/>
      <w:color w:val="FFFFFF" w:themeColor="background1"/>
      <w:sz w:val="21"/>
      <w:szCs w:val="21"/>
      <w:lang w:val="fr-FR"/>
    </w:rPr>
  </w:style>
  <w:style w:type="character" w:customStyle="1" w:styleId="ReportAcronymChar">
    <w:name w:val="Report Acronym Char"/>
    <w:basedOn w:val="DefaultParagraphFont"/>
    <w:link w:val="ReportAcronym"/>
    <w:uiPriority w:val="17"/>
    <w:rsid w:val="00FD00B9"/>
    <w:rPr>
      <w:rFonts w:ascii="Noto Sans" w:eastAsia="Noto Sans SC Regular" w:hAnsi="Noto Sans" w:cs="Noto Sans"/>
      <w:color w:val="FFFFFF" w:themeColor="background1"/>
      <w:sz w:val="21"/>
      <w:szCs w:val="21"/>
      <w:shd w:val="clear" w:color="auto" w:fill="1E2DBE"/>
      <w:lang w:val="fr-FR"/>
    </w:rPr>
  </w:style>
  <w:style w:type="paragraph" w:customStyle="1" w:styleId="ReportGraphicNoteSource">
    <w:name w:val="Report Graphic NoteSource"/>
    <w:basedOn w:val="ReportParaIndent"/>
    <w:next w:val="ReportPara"/>
    <w:uiPriority w:val="10"/>
    <w:qFormat/>
    <w:rsid w:val="007D1F9D"/>
    <w:pPr>
      <w:spacing w:after="240"/>
    </w:pPr>
    <w:rPr>
      <w:sz w:val="15"/>
      <w:szCs w:val="15"/>
    </w:rPr>
  </w:style>
  <w:style w:type="paragraph" w:customStyle="1" w:styleId="ReportGraphicTitleF">
    <w:name w:val="Report Graphic Title F"/>
    <w:basedOn w:val="ReportTableTitleF"/>
    <w:next w:val="ReportPara"/>
    <w:uiPriority w:val="9"/>
    <w:qFormat/>
    <w:rsid w:val="00EB1868"/>
    <w:pPr>
      <w:numPr>
        <w:numId w:val="16"/>
      </w:numPr>
      <w:tabs>
        <w:tab w:val="left" w:pos="1361"/>
      </w:tabs>
    </w:pPr>
  </w:style>
  <w:style w:type="paragraph" w:customStyle="1" w:styleId="ReportHeading1Indent">
    <w:name w:val="Report Heading 1 Indent"/>
    <w:basedOn w:val="ReportHeading1"/>
    <w:next w:val="ReportPara"/>
    <w:uiPriority w:val="3"/>
    <w:qFormat/>
    <w:rsid w:val="00EB1868"/>
    <w:pPr>
      <w:ind w:left="567" w:hanging="567"/>
    </w:pPr>
  </w:style>
  <w:style w:type="paragraph" w:customStyle="1" w:styleId="ReportChapter">
    <w:name w:val="Report Chapter"/>
    <w:next w:val="ReportPara"/>
    <w:link w:val="ReportChapterChar"/>
    <w:uiPriority w:val="2"/>
    <w:qFormat/>
    <w:rsid w:val="00EB1868"/>
    <w:pPr>
      <w:keepNext/>
      <w:numPr>
        <w:numId w:val="11"/>
      </w:numPr>
      <w:pBdr>
        <w:bottom w:val="single" w:sz="4" w:space="1" w:color="1E2DBE"/>
      </w:pBdr>
      <w:spacing w:before="480" w:after="360" w:line="240" w:lineRule="auto"/>
      <w:outlineLvl w:val="0"/>
    </w:pPr>
    <w:rPr>
      <w:rFonts w:ascii="Overpass" w:eastAsia="Noto Sans SC Bold" w:hAnsi="Overpass" w:cs="Overpass"/>
      <w:b/>
      <w:color w:val="232DBE"/>
      <w:sz w:val="36"/>
      <w:szCs w:val="36"/>
      <w:u w:color="232DBE"/>
      <w:lang w:val="fr-FR"/>
    </w:rPr>
  </w:style>
  <w:style w:type="character" w:customStyle="1" w:styleId="ReportChapterChar">
    <w:name w:val="Report Chapter Char"/>
    <w:basedOn w:val="DefaultParagraphFont"/>
    <w:link w:val="ReportChapter"/>
    <w:uiPriority w:val="2"/>
    <w:rsid w:val="00EB1868"/>
    <w:rPr>
      <w:rFonts w:ascii="Overpass" w:eastAsia="Noto Sans SC Bold" w:hAnsi="Overpass" w:cs="Overpass"/>
      <w:b/>
      <w:color w:val="232DBE"/>
      <w:sz w:val="36"/>
      <w:szCs w:val="36"/>
      <w:u w:color="232DBE"/>
      <w:lang w:val="fr-FR"/>
    </w:rPr>
  </w:style>
  <w:style w:type="paragraph" w:customStyle="1" w:styleId="ReportHeading2">
    <w:name w:val="Report Heading 2"/>
    <w:next w:val="ReportPara"/>
    <w:link w:val="ReportHeading2Char"/>
    <w:uiPriority w:val="2"/>
    <w:qFormat/>
    <w:rsid w:val="00EB1868"/>
    <w:pPr>
      <w:keepNext/>
      <w:spacing w:before="240" w:after="120" w:line="240" w:lineRule="auto"/>
      <w:outlineLvl w:val="1"/>
    </w:pPr>
    <w:rPr>
      <w:rFonts w:ascii="Overpass" w:eastAsia="Noto Sans SC Bold" w:hAnsi="Overpass" w:cs="Overpass"/>
      <w:b/>
      <w:bCs/>
      <w:color w:val="1E2DBE"/>
      <w:sz w:val="28"/>
      <w:szCs w:val="28"/>
      <w:lang w:val="fr-FR"/>
    </w:rPr>
  </w:style>
  <w:style w:type="character" w:customStyle="1" w:styleId="ReportHeading2Char">
    <w:name w:val="Report Heading 2 Char"/>
    <w:basedOn w:val="DefaultParagraphFont"/>
    <w:link w:val="ReportHeading2"/>
    <w:uiPriority w:val="2"/>
    <w:rsid w:val="00EB1868"/>
    <w:rPr>
      <w:rFonts w:ascii="Overpass" w:eastAsia="Noto Sans SC Bold" w:hAnsi="Overpass" w:cs="Overpass"/>
      <w:b/>
      <w:bCs/>
      <w:color w:val="1E2DBE"/>
      <w:sz w:val="28"/>
      <w:szCs w:val="28"/>
      <w:lang w:val="fr-FR"/>
    </w:rPr>
  </w:style>
  <w:style w:type="paragraph" w:customStyle="1" w:styleId="ReportHeading2Indent">
    <w:name w:val="Report Heading 2 Indent"/>
    <w:basedOn w:val="ReportHeading2"/>
    <w:next w:val="ReportPara"/>
    <w:link w:val="ReportHeading2IndentChar"/>
    <w:uiPriority w:val="3"/>
    <w:qFormat/>
    <w:rsid w:val="00EB1868"/>
    <w:pPr>
      <w:keepLines/>
      <w:ind w:left="567" w:hanging="567"/>
    </w:pPr>
  </w:style>
  <w:style w:type="character" w:customStyle="1" w:styleId="ReportHeading2IndentChar">
    <w:name w:val="Report Heading 2 Indent Char"/>
    <w:basedOn w:val="DefaultParagraphFont"/>
    <w:link w:val="ReportHeading2Indent"/>
    <w:uiPriority w:val="3"/>
    <w:rsid w:val="00EB1868"/>
    <w:rPr>
      <w:rFonts w:ascii="Overpass" w:eastAsia="Noto Sans SC Bold" w:hAnsi="Overpass" w:cs="Overpass"/>
      <w:b/>
      <w:bCs/>
      <w:color w:val="1E2DBE"/>
      <w:sz w:val="28"/>
      <w:szCs w:val="28"/>
      <w:lang w:val="fr-FR"/>
    </w:rPr>
  </w:style>
  <w:style w:type="paragraph" w:customStyle="1" w:styleId="ReportHeading3">
    <w:name w:val="Report Heading 3"/>
    <w:next w:val="ReportPara"/>
    <w:link w:val="ReportHeading3Char"/>
    <w:uiPriority w:val="2"/>
    <w:qFormat/>
    <w:rsid w:val="00EB1868"/>
    <w:pPr>
      <w:keepNext/>
      <w:spacing w:before="240" w:after="120" w:line="240" w:lineRule="auto"/>
      <w:outlineLvl w:val="2"/>
    </w:pPr>
    <w:rPr>
      <w:rFonts w:ascii="Overpass" w:eastAsia="Noto Sans SC Bold" w:hAnsi="Overpass" w:cs="Overpass"/>
      <w:b/>
      <w:bCs/>
      <w:color w:val="1E2DBE"/>
      <w:sz w:val="24"/>
      <w:szCs w:val="24"/>
      <w:lang w:val="fr-FR"/>
    </w:rPr>
  </w:style>
  <w:style w:type="character" w:customStyle="1" w:styleId="ReportHeading3Char">
    <w:name w:val="Report Heading 3 Char"/>
    <w:basedOn w:val="DefaultParagraphFont"/>
    <w:link w:val="ReportHeading3"/>
    <w:uiPriority w:val="2"/>
    <w:rsid w:val="00EB1868"/>
    <w:rPr>
      <w:rFonts w:ascii="Overpass" w:eastAsia="Noto Sans SC Bold" w:hAnsi="Overpass" w:cs="Overpass"/>
      <w:b/>
      <w:bCs/>
      <w:color w:val="1E2DBE"/>
      <w:sz w:val="24"/>
      <w:szCs w:val="24"/>
      <w:lang w:val="fr-FR"/>
    </w:rPr>
  </w:style>
  <w:style w:type="paragraph" w:customStyle="1" w:styleId="ReportHeading3Indent">
    <w:name w:val="Report Heading 3 Indent"/>
    <w:basedOn w:val="ReportHeading3"/>
    <w:next w:val="ReportPara"/>
    <w:link w:val="ReportHeading3IndentChar"/>
    <w:uiPriority w:val="3"/>
    <w:qFormat/>
    <w:rsid w:val="00EB1868"/>
    <w:pPr>
      <w:ind w:left="567" w:hanging="567"/>
    </w:pPr>
  </w:style>
  <w:style w:type="character" w:customStyle="1" w:styleId="ReportHeading3IndentChar">
    <w:name w:val="Report Heading 3 Indent Char"/>
    <w:basedOn w:val="ReportHeading3Char"/>
    <w:link w:val="ReportHeading3Indent"/>
    <w:uiPriority w:val="3"/>
    <w:rsid w:val="00EB1868"/>
    <w:rPr>
      <w:rFonts w:ascii="Overpass" w:eastAsia="Noto Sans SC Bold" w:hAnsi="Overpass" w:cs="Overpass"/>
      <w:b/>
      <w:bCs/>
      <w:color w:val="1E2DBE"/>
      <w:sz w:val="24"/>
      <w:szCs w:val="24"/>
      <w:lang w:val="fr-FR"/>
    </w:rPr>
  </w:style>
  <w:style w:type="paragraph" w:customStyle="1" w:styleId="ReportHeading4">
    <w:name w:val="Report Heading 4"/>
    <w:next w:val="ReportPara"/>
    <w:link w:val="ReportHeading4Char"/>
    <w:uiPriority w:val="2"/>
    <w:qFormat/>
    <w:rsid w:val="00EB1868"/>
    <w:pPr>
      <w:keepNext/>
      <w:spacing w:before="240" w:after="120" w:line="240" w:lineRule="auto"/>
      <w:outlineLvl w:val="3"/>
    </w:pPr>
    <w:rPr>
      <w:rFonts w:ascii="Overpass" w:eastAsia="Noto Sans SC Regular" w:hAnsi="Overpass" w:cs="Overpass"/>
      <w:b/>
      <w:bCs/>
      <w:color w:val="230050"/>
      <w:lang w:val="fr-FR"/>
    </w:rPr>
  </w:style>
  <w:style w:type="character" w:customStyle="1" w:styleId="ReportHeading4Char">
    <w:name w:val="Report Heading 4 Char"/>
    <w:basedOn w:val="DefaultParagraphFont"/>
    <w:link w:val="ReportHeading4"/>
    <w:uiPriority w:val="2"/>
    <w:rsid w:val="00EB1868"/>
    <w:rPr>
      <w:rFonts w:ascii="Overpass" w:eastAsia="Noto Sans SC Regular" w:hAnsi="Overpass" w:cs="Overpass"/>
      <w:b/>
      <w:bCs/>
      <w:color w:val="230050"/>
      <w:lang w:val="fr-FR"/>
    </w:rPr>
  </w:style>
  <w:style w:type="paragraph" w:customStyle="1" w:styleId="ReportHeading4Indent">
    <w:name w:val="Report Heading 4 Indent"/>
    <w:basedOn w:val="ReportHeading4"/>
    <w:next w:val="ReportPara"/>
    <w:link w:val="ReportHeading4IndentChar"/>
    <w:uiPriority w:val="3"/>
    <w:qFormat/>
    <w:rsid w:val="00EB1868"/>
    <w:pPr>
      <w:ind w:left="567" w:hanging="567"/>
    </w:pPr>
  </w:style>
  <w:style w:type="character" w:customStyle="1" w:styleId="ReportHeading4IndentChar">
    <w:name w:val="Report Heading 4 Indent Char"/>
    <w:basedOn w:val="DefaultParagraphFont"/>
    <w:link w:val="ReportHeading4Indent"/>
    <w:uiPriority w:val="3"/>
    <w:rsid w:val="00EB1868"/>
    <w:rPr>
      <w:rFonts w:ascii="Overpass" w:eastAsia="Noto Sans SC Regular" w:hAnsi="Overpass" w:cs="Overpass"/>
      <w:b/>
      <w:bCs/>
      <w:color w:val="230050"/>
      <w:lang w:val="fr-FR"/>
    </w:rPr>
  </w:style>
  <w:style w:type="paragraph" w:customStyle="1" w:styleId="ReportHeading5">
    <w:name w:val="Report Heading 5"/>
    <w:next w:val="ReportPara"/>
    <w:link w:val="ReportHeading5Char"/>
    <w:uiPriority w:val="2"/>
    <w:qFormat/>
    <w:rsid w:val="00EB1868"/>
    <w:pPr>
      <w:keepNext/>
      <w:spacing w:before="240" w:after="120" w:line="240" w:lineRule="auto"/>
      <w:outlineLvl w:val="4"/>
    </w:pPr>
    <w:rPr>
      <w:rFonts w:ascii="Overpass" w:eastAsia="Noto Sans SC Regular" w:hAnsi="Overpass" w:cs="Overpass"/>
      <w:color w:val="230050"/>
      <w:lang w:val="fr-FR"/>
    </w:rPr>
  </w:style>
  <w:style w:type="character" w:customStyle="1" w:styleId="ReportHeading5Char">
    <w:name w:val="Report Heading 5 Char"/>
    <w:basedOn w:val="DefaultParagraphFont"/>
    <w:link w:val="ReportHeading5"/>
    <w:uiPriority w:val="2"/>
    <w:rsid w:val="00EB1868"/>
    <w:rPr>
      <w:rFonts w:ascii="Overpass" w:eastAsia="Noto Sans SC Regular" w:hAnsi="Overpass" w:cs="Overpass"/>
      <w:color w:val="230050"/>
      <w:lang w:val="fr-FR"/>
    </w:rPr>
  </w:style>
  <w:style w:type="paragraph" w:customStyle="1" w:styleId="ReportHeading5Indent">
    <w:name w:val="Report Heading 5 Indent"/>
    <w:basedOn w:val="ReportHeading5"/>
    <w:next w:val="ReportPara"/>
    <w:link w:val="ReportHeading5IndentChar"/>
    <w:uiPriority w:val="3"/>
    <w:qFormat/>
    <w:rsid w:val="00EB1868"/>
    <w:pPr>
      <w:ind w:left="567" w:hanging="567"/>
    </w:pPr>
  </w:style>
  <w:style w:type="character" w:customStyle="1" w:styleId="ReportHeading5IndentChar">
    <w:name w:val="Report Heading 5 Indent Char"/>
    <w:basedOn w:val="DefaultParagraphFont"/>
    <w:link w:val="ReportHeading5Indent"/>
    <w:uiPriority w:val="3"/>
    <w:rsid w:val="00EB1868"/>
    <w:rPr>
      <w:rFonts w:ascii="Overpass" w:eastAsia="Noto Sans SC Regular" w:hAnsi="Overpass" w:cs="Overpass"/>
      <w:color w:val="230050"/>
      <w:lang w:val="fr-FR"/>
    </w:rPr>
  </w:style>
  <w:style w:type="character" w:customStyle="1" w:styleId="ReportHyperlink">
    <w:name w:val="Report Hyperlink"/>
    <w:uiPriority w:val="5"/>
    <w:qFormat/>
    <w:rsid w:val="00EB1868"/>
    <w:rPr>
      <w:rFonts w:ascii="Noto Sans" w:eastAsia="Noto Sans SC Regular" w:hAnsi="Noto Sans" w:cs="Noto Sans"/>
      <w:color w:val="1E2DBE"/>
      <w:lang w:val="fr-FR"/>
    </w:rPr>
  </w:style>
  <w:style w:type="paragraph" w:customStyle="1" w:styleId="ReportIndent1">
    <w:name w:val="Report Indent 1"/>
    <w:basedOn w:val="ReportPara"/>
    <w:link w:val="ReportIndent1Char"/>
    <w:uiPriority w:val="6"/>
    <w:qFormat/>
    <w:rsid w:val="00EB1868"/>
    <w:pPr>
      <w:ind w:left="1021" w:hanging="454"/>
    </w:pPr>
  </w:style>
  <w:style w:type="character" w:customStyle="1" w:styleId="ReportIndent1Char">
    <w:name w:val="Report Indent 1 Char"/>
    <w:basedOn w:val="DefaultParagraphFont"/>
    <w:link w:val="ReportIndent1"/>
    <w:uiPriority w:val="6"/>
    <w:rsid w:val="00EB1868"/>
    <w:rPr>
      <w:rFonts w:ascii="Noto Sans" w:eastAsia="Noto Sans SC Regular" w:hAnsi="Noto Sans" w:cs="Noto Sans"/>
      <w:sz w:val="20"/>
      <w:szCs w:val="20"/>
      <w:lang w:val="fr-FR"/>
    </w:rPr>
  </w:style>
  <w:style w:type="paragraph" w:customStyle="1" w:styleId="ReportIndent2">
    <w:name w:val="Report Indent 2"/>
    <w:basedOn w:val="ReportIndent1"/>
    <w:link w:val="ReportIndent2Char"/>
    <w:uiPriority w:val="6"/>
    <w:qFormat/>
    <w:rsid w:val="00EB1868"/>
    <w:pPr>
      <w:ind w:left="1531" w:hanging="510"/>
    </w:pPr>
  </w:style>
  <w:style w:type="character" w:customStyle="1" w:styleId="ReportIndent2Char">
    <w:name w:val="Report Indent 2 Char"/>
    <w:basedOn w:val="DefaultParagraphFont"/>
    <w:link w:val="ReportIndent2"/>
    <w:uiPriority w:val="6"/>
    <w:rsid w:val="00EB1868"/>
    <w:rPr>
      <w:rFonts w:ascii="Noto Sans" w:eastAsia="Noto Sans SC Regular" w:hAnsi="Noto Sans" w:cs="Noto Sans"/>
      <w:sz w:val="20"/>
      <w:szCs w:val="20"/>
      <w:lang w:val="fr-FR"/>
    </w:rPr>
  </w:style>
  <w:style w:type="paragraph" w:customStyle="1" w:styleId="ReportIndentbluebulletlist1">
    <w:name w:val="Report Indent blue bullet list 1"/>
    <w:basedOn w:val="ReportPara"/>
    <w:uiPriority w:val="7"/>
    <w:qFormat/>
    <w:rsid w:val="00EB1868"/>
    <w:pPr>
      <w:numPr>
        <w:numId w:val="21"/>
      </w:numPr>
      <w:contextualSpacing/>
    </w:pPr>
  </w:style>
  <w:style w:type="paragraph" w:customStyle="1" w:styleId="ReportIndentbluebulletlist2">
    <w:name w:val="Report Indent blue bullet list 2"/>
    <w:basedOn w:val="ReportIndentbluebulletlist1"/>
    <w:link w:val="ReportIndentbluebulletlist2Char"/>
    <w:uiPriority w:val="7"/>
    <w:qFormat/>
    <w:rsid w:val="00FD00B9"/>
    <w:pPr>
      <w:numPr>
        <w:ilvl w:val="1"/>
        <w:numId w:val="22"/>
      </w:numPr>
    </w:pPr>
  </w:style>
  <w:style w:type="character" w:customStyle="1" w:styleId="ReportIndentbluebulletlist2Char">
    <w:name w:val="Report Indent blue bullet list 2 Char"/>
    <w:basedOn w:val="DefaultParagraphFont"/>
    <w:link w:val="ReportIndentbluebulletlist2"/>
    <w:uiPriority w:val="7"/>
    <w:rsid w:val="00FD00B9"/>
    <w:rPr>
      <w:rFonts w:ascii="Noto Sans" w:eastAsia="Noto Sans SC Regular" w:hAnsi="Noto Sans" w:cs="Noto Sans"/>
      <w:sz w:val="20"/>
      <w:szCs w:val="20"/>
      <w:lang w:val="fr-FR"/>
    </w:rPr>
  </w:style>
  <w:style w:type="paragraph" w:customStyle="1" w:styleId="ReportIndentletterlist1F">
    <w:name w:val="Report Indent letter list 1 F"/>
    <w:basedOn w:val="ReportPara"/>
    <w:uiPriority w:val="6"/>
    <w:qFormat/>
    <w:rsid w:val="006D4C4B"/>
    <w:pPr>
      <w:numPr>
        <w:ilvl w:val="1"/>
        <w:numId w:val="24"/>
      </w:numPr>
    </w:pPr>
  </w:style>
  <w:style w:type="paragraph" w:customStyle="1" w:styleId="ReportIndentletterlist2F">
    <w:name w:val="Report Indent letter list 2 F"/>
    <w:basedOn w:val="ReportIndentletterlist1F"/>
    <w:uiPriority w:val="6"/>
    <w:qFormat/>
    <w:rsid w:val="006D4C4B"/>
    <w:pPr>
      <w:numPr>
        <w:ilvl w:val="2"/>
        <w:numId w:val="25"/>
      </w:numPr>
    </w:pPr>
  </w:style>
  <w:style w:type="paragraph" w:customStyle="1" w:styleId="ReportInstrumentArticle">
    <w:name w:val="Report Instrument Article"/>
    <w:next w:val="ReportInstrumentPara"/>
    <w:uiPriority w:val="8"/>
    <w:qFormat/>
    <w:rsid w:val="00FD00B9"/>
    <w:pPr>
      <w:keepNext/>
      <w:keepLines/>
      <w:spacing w:before="120" w:after="120" w:line="240" w:lineRule="auto"/>
      <w:ind w:left="1701"/>
      <w:jc w:val="center"/>
    </w:pPr>
    <w:rPr>
      <w:rFonts w:ascii="Overpass" w:eastAsia="Noto Sans SC Regular" w:hAnsi="Overpass" w:cs="Overpass"/>
      <w:i/>
      <w:iCs/>
      <w:sz w:val="20"/>
      <w:szCs w:val="20"/>
      <w:lang w:val="fr-FR"/>
    </w:rPr>
  </w:style>
  <w:style w:type="paragraph" w:customStyle="1" w:styleId="ReportInstrumentPara">
    <w:name w:val="Report Instrument Para"/>
    <w:basedOn w:val="ReportPara"/>
    <w:uiPriority w:val="8"/>
    <w:qFormat/>
    <w:rsid w:val="00FD00B9"/>
    <w:pPr>
      <w:tabs>
        <w:tab w:val="left" w:pos="2552"/>
      </w:tabs>
      <w:spacing w:before="80" w:after="80" w:line="240" w:lineRule="exact"/>
      <w:ind w:left="1701" w:firstLine="454"/>
    </w:pPr>
    <w:rPr>
      <w:sz w:val="18"/>
      <w:szCs w:val="18"/>
    </w:rPr>
  </w:style>
  <w:style w:type="paragraph" w:customStyle="1" w:styleId="ReportParaNumnotboldAppendix">
    <w:name w:val="Report ParaNum not bold (Appendix)"/>
    <w:uiPriority w:val="4"/>
    <w:qFormat/>
    <w:rsid w:val="00FD00B9"/>
    <w:pPr>
      <w:numPr>
        <w:numId w:val="6"/>
      </w:numPr>
      <w:spacing w:before="120" w:after="120" w:line="240" w:lineRule="auto"/>
      <w:jc w:val="both"/>
    </w:pPr>
    <w:rPr>
      <w:rFonts w:ascii="Noto Sans" w:eastAsia="Noto Sans SC Regular" w:hAnsi="Noto Sans" w:cs="Noto Sans"/>
      <w:sz w:val="20"/>
      <w:szCs w:val="20"/>
      <w:lang w:val="fr-FR"/>
    </w:rPr>
  </w:style>
  <w:style w:type="paragraph" w:customStyle="1" w:styleId="TableHeaderLeft">
    <w:name w:val="Table Header Left"/>
    <w:link w:val="TableHeaderLeftChar"/>
    <w:uiPriority w:val="14"/>
    <w:qFormat/>
    <w:rsid w:val="00FD00B9"/>
    <w:pPr>
      <w:shd w:val="clear" w:color="auto" w:fill="1E2DBE"/>
      <w:spacing w:before="20" w:after="20" w:line="240" w:lineRule="auto"/>
    </w:pPr>
    <w:rPr>
      <w:rFonts w:ascii="Noto Sans" w:eastAsia="Noto Sans SC Regular" w:hAnsi="Noto Sans" w:cs="Noto Sans"/>
      <w:b/>
      <w:bCs/>
      <w:color w:val="FFFFFF" w:themeColor="background1"/>
      <w:sz w:val="18"/>
      <w:szCs w:val="18"/>
      <w:lang w:val="fr-FR" w:eastAsia="en-GB"/>
    </w:rPr>
  </w:style>
  <w:style w:type="character" w:customStyle="1" w:styleId="TableHeaderLeftChar">
    <w:name w:val="Table Header Left Char"/>
    <w:basedOn w:val="DefaultParagraphFont"/>
    <w:link w:val="TableHeaderLeft"/>
    <w:uiPriority w:val="14"/>
    <w:rsid w:val="00FD00B9"/>
    <w:rPr>
      <w:rFonts w:ascii="Noto Sans" w:eastAsia="Noto Sans SC Regular" w:hAnsi="Noto Sans" w:cs="Noto Sans"/>
      <w:b/>
      <w:bCs/>
      <w:color w:val="FFFFFF" w:themeColor="background1"/>
      <w:sz w:val="18"/>
      <w:szCs w:val="18"/>
      <w:shd w:val="clear" w:color="auto" w:fill="1E2DBE"/>
      <w:lang w:val="fr-FR" w:eastAsia="en-GB"/>
    </w:rPr>
  </w:style>
  <w:style w:type="paragraph" w:customStyle="1" w:styleId="TableHeaderRight">
    <w:name w:val="Table Header Right"/>
    <w:link w:val="TableHeaderRightChar"/>
    <w:uiPriority w:val="14"/>
    <w:qFormat/>
    <w:rsid w:val="00FD00B9"/>
    <w:pPr>
      <w:shd w:val="clear" w:color="auto" w:fill="1E2DBE"/>
      <w:spacing w:before="20" w:after="20" w:line="240" w:lineRule="auto"/>
      <w:jc w:val="right"/>
    </w:pPr>
    <w:rPr>
      <w:rFonts w:ascii="Noto Sans" w:eastAsia="Noto Sans SC Regular" w:hAnsi="Noto Sans" w:cs="Noto Sans"/>
      <w:b/>
      <w:bCs/>
      <w:color w:val="FFFFFF" w:themeColor="background1"/>
      <w:sz w:val="18"/>
      <w:szCs w:val="18"/>
      <w:lang w:val="fr-FR" w:eastAsia="en-GB"/>
    </w:rPr>
  </w:style>
  <w:style w:type="character" w:customStyle="1" w:styleId="TableHeaderRightChar">
    <w:name w:val="Table Header Right Char"/>
    <w:basedOn w:val="DefaultParagraphFont"/>
    <w:link w:val="TableHeaderRight"/>
    <w:uiPriority w:val="14"/>
    <w:rsid w:val="00FD00B9"/>
    <w:rPr>
      <w:rFonts w:ascii="Noto Sans" w:eastAsia="Noto Sans SC Regular" w:hAnsi="Noto Sans" w:cs="Noto Sans"/>
      <w:b/>
      <w:bCs/>
      <w:color w:val="FFFFFF" w:themeColor="background1"/>
      <w:sz w:val="18"/>
      <w:szCs w:val="18"/>
      <w:shd w:val="clear" w:color="auto" w:fill="1E2DBE"/>
      <w:lang w:val="fr-FR" w:eastAsia="en-GB"/>
    </w:rPr>
  </w:style>
  <w:style w:type="paragraph" w:customStyle="1" w:styleId="TableTextLeft">
    <w:name w:val="Table Text Left"/>
    <w:link w:val="TableTextLeftChar"/>
    <w:uiPriority w:val="14"/>
    <w:qFormat/>
    <w:rsid w:val="00FD00B9"/>
    <w:pPr>
      <w:spacing w:before="20" w:after="20" w:line="240" w:lineRule="auto"/>
    </w:pPr>
    <w:rPr>
      <w:rFonts w:ascii="Noto Sans" w:eastAsia="Noto Sans SC Regular" w:hAnsi="Noto Sans" w:cs="Noto Sans"/>
      <w:sz w:val="18"/>
      <w:szCs w:val="18"/>
      <w:lang w:val="fr-FR"/>
    </w:rPr>
  </w:style>
  <w:style w:type="character" w:customStyle="1" w:styleId="TableTextLeftChar">
    <w:name w:val="Table Text Left Char"/>
    <w:basedOn w:val="DefaultParagraphFont"/>
    <w:link w:val="TableTextLeft"/>
    <w:uiPriority w:val="14"/>
    <w:rsid w:val="00FD00B9"/>
    <w:rPr>
      <w:rFonts w:ascii="Noto Sans" w:eastAsia="Noto Sans SC Regular" w:hAnsi="Noto Sans" w:cs="Noto Sans"/>
      <w:sz w:val="18"/>
      <w:szCs w:val="18"/>
      <w:lang w:val="fr-FR"/>
    </w:rPr>
  </w:style>
  <w:style w:type="paragraph" w:customStyle="1" w:styleId="TableTextRight">
    <w:name w:val="Table Text Right"/>
    <w:link w:val="TableTextRightChar"/>
    <w:uiPriority w:val="14"/>
    <w:qFormat/>
    <w:rsid w:val="00FD00B9"/>
    <w:pPr>
      <w:spacing w:before="20" w:after="20" w:line="240" w:lineRule="auto"/>
      <w:jc w:val="right"/>
    </w:pPr>
    <w:rPr>
      <w:rFonts w:ascii="Noto Sans" w:eastAsia="Noto Sans SC Regular" w:hAnsi="Noto Sans" w:cs="Noto Sans"/>
      <w:sz w:val="18"/>
      <w:szCs w:val="18"/>
      <w:lang w:val="fr-FR"/>
    </w:rPr>
  </w:style>
  <w:style w:type="character" w:customStyle="1" w:styleId="TableTextRightChar">
    <w:name w:val="Table Text Right Char"/>
    <w:basedOn w:val="DefaultParagraphFont"/>
    <w:link w:val="TableTextRight"/>
    <w:uiPriority w:val="14"/>
    <w:rsid w:val="00FD00B9"/>
    <w:rPr>
      <w:rFonts w:ascii="Noto Sans" w:eastAsia="Noto Sans SC Regular" w:hAnsi="Noto Sans" w:cs="Noto Sans"/>
      <w:sz w:val="18"/>
      <w:szCs w:val="18"/>
      <w:lang w:val="fr-FR"/>
    </w:rPr>
  </w:style>
  <w:style w:type="paragraph" w:customStyle="1" w:styleId="TableBoxNoteSource">
    <w:name w:val="TableBox NoteSource"/>
    <w:uiPriority w:val="12"/>
    <w:qFormat/>
    <w:rsid w:val="00FD00B9"/>
    <w:pPr>
      <w:spacing w:before="120" w:after="20" w:line="240" w:lineRule="auto"/>
      <w:jc w:val="both"/>
    </w:pPr>
    <w:rPr>
      <w:rFonts w:ascii="Noto Sans" w:eastAsia="Noto Sans SC Regular" w:hAnsi="Noto Sans" w:cs="Noto Sans"/>
      <w:sz w:val="15"/>
      <w:szCs w:val="15"/>
      <w:lang w:val="fr-FR"/>
    </w:rPr>
  </w:style>
  <w:style w:type="paragraph" w:customStyle="1" w:styleId="TableBoxrowempty">
    <w:name w:val="TableBox row empty"/>
    <w:uiPriority w:val="12"/>
    <w:rsid w:val="00FD00B9"/>
    <w:pPr>
      <w:spacing w:after="0" w:line="240" w:lineRule="auto"/>
      <w:jc w:val="both"/>
    </w:pPr>
    <w:rPr>
      <w:rFonts w:ascii="Noto Sans" w:eastAsia="Noto Sans SC Regular" w:hAnsi="Noto Sans" w:cs="Noto Sans"/>
      <w:sz w:val="2"/>
      <w:szCs w:val="2"/>
      <w:lang w:val="fr-FR"/>
    </w:rPr>
  </w:style>
  <w:style w:type="paragraph" w:styleId="TOC1">
    <w:name w:val="toc 1"/>
    <w:next w:val="TOC2"/>
    <w:uiPriority w:val="39"/>
    <w:qFormat/>
    <w:rsid w:val="007171CB"/>
    <w:pPr>
      <w:tabs>
        <w:tab w:val="left" w:pos="680"/>
        <w:tab w:val="right" w:leader="dot" w:pos="9072"/>
        <w:tab w:val="right" w:pos="9639"/>
      </w:tabs>
      <w:spacing w:before="120" w:after="120" w:line="240" w:lineRule="auto"/>
      <w:ind w:left="340"/>
    </w:pPr>
    <w:rPr>
      <w:rFonts w:ascii="Noto Sans" w:eastAsia="Noto Sans SC Regular" w:hAnsi="Noto Sans" w:cs="Noto Sans"/>
      <w:sz w:val="20"/>
      <w:szCs w:val="20"/>
      <w:lang w:val="fr-FR" w:eastAsia="zh-CN"/>
    </w:rPr>
  </w:style>
  <w:style w:type="paragraph" w:styleId="TOC2">
    <w:name w:val="toc 2"/>
    <w:basedOn w:val="TOC1"/>
    <w:uiPriority w:val="39"/>
    <w:qFormat/>
    <w:rsid w:val="007171CB"/>
    <w:pPr>
      <w:tabs>
        <w:tab w:val="clear" w:pos="680"/>
        <w:tab w:val="left" w:pos="1134"/>
        <w:tab w:val="left" w:pos="1559"/>
      </w:tabs>
      <w:ind w:left="680"/>
    </w:pPr>
  </w:style>
  <w:style w:type="paragraph" w:styleId="TOC3">
    <w:name w:val="toc 3"/>
    <w:basedOn w:val="TOC1"/>
    <w:uiPriority w:val="18"/>
    <w:qFormat/>
    <w:rsid w:val="007171CB"/>
    <w:pPr>
      <w:tabs>
        <w:tab w:val="left" w:pos="1701"/>
      </w:tabs>
      <w:ind w:left="1134"/>
    </w:pPr>
  </w:style>
  <w:style w:type="paragraph" w:customStyle="1" w:styleId="TOCpage">
    <w:name w:val="TOC page"/>
    <w:uiPriority w:val="18"/>
    <w:qFormat/>
    <w:rsid w:val="0085420D"/>
    <w:pPr>
      <w:keepNext/>
      <w:keepLines/>
      <w:spacing w:before="120" w:after="120" w:line="240" w:lineRule="auto"/>
      <w:jc w:val="right"/>
    </w:pPr>
    <w:rPr>
      <w:rFonts w:ascii="Noto Sans" w:eastAsia="Noto Sans" w:hAnsi="Noto Sans" w:cs="Noto Sans"/>
      <w:b/>
      <w:bCs/>
      <w:color w:val="230050"/>
      <w:sz w:val="18"/>
      <w:szCs w:val="18"/>
      <w:lang w:val="fr-FR" w:eastAsia="zh-CN"/>
    </w:rPr>
  </w:style>
  <w:style w:type="paragraph" w:customStyle="1" w:styleId="ReportAuthors">
    <w:name w:val="Report Authors"/>
    <w:rsid w:val="00EB1868"/>
    <w:pPr>
      <w:spacing w:after="0" w:line="240" w:lineRule="auto"/>
    </w:pPr>
    <w:rPr>
      <w:rFonts w:ascii="Overpass" w:eastAsia="Noto Sans SC Bold" w:hAnsi="Overpass" w:cs="Overpass"/>
      <w:b/>
      <w:bCs/>
      <w:color w:val="1E2DBE"/>
      <w:sz w:val="20"/>
      <w:szCs w:val="20"/>
      <w:lang w:val="fr-FR"/>
    </w:rPr>
  </w:style>
  <w:style w:type="paragraph" w:customStyle="1" w:styleId="ReportHeading1">
    <w:name w:val="Report Heading 1"/>
    <w:next w:val="ReportPara"/>
    <w:uiPriority w:val="2"/>
    <w:qFormat/>
    <w:rsid w:val="00EB1868"/>
    <w:pPr>
      <w:keepNext/>
      <w:spacing w:before="240" w:after="120" w:line="240" w:lineRule="auto"/>
      <w:outlineLvl w:val="0"/>
    </w:pPr>
    <w:rPr>
      <w:rFonts w:ascii="Overpass" w:eastAsia="Noto Sans SC Bold" w:hAnsi="Overpass" w:cs="Overpass"/>
      <w:b/>
      <w:bCs/>
      <w:color w:val="FA3C4B"/>
      <w:sz w:val="32"/>
      <w:szCs w:val="32"/>
      <w:lang w:val="fr-FR"/>
    </w:rPr>
  </w:style>
  <w:style w:type="paragraph" w:customStyle="1" w:styleId="ReportHeaderReportTitleevenpage">
    <w:name w:val="Report Header Report Title even page"/>
    <w:uiPriority w:val="16"/>
    <w:rsid w:val="00FD00B9"/>
    <w:pPr>
      <w:spacing w:after="0" w:line="240" w:lineRule="auto"/>
      <w:jc w:val="right"/>
    </w:pPr>
    <w:rPr>
      <w:rFonts w:ascii="Noto Sans" w:eastAsia="Noto Sans SC Regular" w:hAnsi="Noto Sans" w:cs="Noto Sans"/>
      <w:b/>
      <w:bCs/>
      <w:color w:val="1E2DBE"/>
      <w:sz w:val="12"/>
      <w:szCs w:val="12"/>
      <w:lang w:val="fr-FR"/>
    </w:rPr>
  </w:style>
  <w:style w:type="paragraph" w:customStyle="1" w:styleId="ReportHeaderChapterTitleoddpage">
    <w:name w:val="Report Header Chapter Title odd page"/>
    <w:uiPriority w:val="16"/>
    <w:rsid w:val="00FD00B9"/>
    <w:pPr>
      <w:spacing w:after="0" w:line="240" w:lineRule="auto"/>
    </w:pPr>
    <w:rPr>
      <w:rFonts w:ascii="Noto Sans" w:eastAsia="Noto Sans SC Regular" w:hAnsi="Noto Sans" w:cs="Noto Sans"/>
      <w:color w:val="1E2DBE"/>
      <w:sz w:val="12"/>
      <w:szCs w:val="12"/>
      <w:lang w:val="fr-FR"/>
    </w:rPr>
  </w:style>
  <w:style w:type="paragraph" w:customStyle="1" w:styleId="ReportHeaderChapterTitleevenpage">
    <w:name w:val="Report Header Chapter Title even page"/>
    <w:basedOn w:val="ReportHeaderChapterTitleoddpage"/>
    <w:uiPriority w:val="16"/>
    <w:rsid w:val="00FD00B9"/>
    <w:pPr>
      <w:jc w:val="right"/>
    </w:pPr>
  </w:style>
  <w:style w:type="paragraph" w:customStyle="1" w:styleId="ReportHeaderReportTitleoddpage">
    <w:name w:val="Report Header Report Title odd page"/>
    <w:basedOn w:val="ReportHeaderReportTitleevenpage"/>
    <w:uiPriority w:val="16"/>
    <w:rsid w:val="00FD00B9"/>
    <w:pPr>
      <w:jc w:val="left"/>
    </w:pPr>
  </w:style>
  <w:style w:type="paragraph" w:customStyle="1" w:styleId="ReportPageNumberright">
    <w:name w:val="Report PageNumber right"/>
    <w:uiPriority w:val="16"/>
    <w:rsid w:val="00FD00B9"/>
    <w:pPr>
      <w:spacing w:after="0" w:line="240" w:lineRule="auto"/>
      <w:jc w:val="right"/>
    </w:pPr>
    <w:rPr>
      <w:rFonts w:ascii="Noto Sans" w:eastAsia="Noto Sans SC Regular" w:hAnsi="Noto Sans" w:cs="Noto Sans"/>
      <w:color w:val="1E2DBE"/>
      <w:lang w:val="fr-FR"/>
    </w:rPr>
  </w:style>
  <w:style w:type="paragraph" w:customStyle="1" w:styleId="ReportPageNumberleft">
    <w:name w:val="Report PageNumber left"/>
    <w:basedOn w:val="ReportPageNumberright"/>
    <w:uiPriority w:val="16"/>
    <w:rsid w:val="00FD00B9"/>
    <w:pPr>
      <w:jc w:val="left"/>
    </w:pPr>
  </w:style>
  <w:style w:type="paragraph" w:customStyle="1" w:styleId="ILCQuestionnaireReportQuestion">
    <w:name w:val="ILC Questionnaire Report Question"/>
    <w:basedOn w:val="ReportHeading4"/>
    <w:next w:val="ReportPara"/>
    <w:uiPriority w:val="4"/>
    <w:qFormat/>
    <w:rsid w:val="00EB1868"/>
    <w:pPr>
      <w:ind w:left="1588" w:hanging="1588"/>
      <w:jc w:val="both"/>
    </w:pPr>
    <w:rPr>
      <w:rFonts w:eastAsia="Noto Sans SC Bold"/>
    </w:rPr>
  </w:style>
  <w:style w:type="paragraph" w:customStyle="1" w:styleId="ILCReportSessionLabel">
    <w:name w:val="ILC Report Session Label"/>
    <w:uiPriority w:val="17"/>
    <w:rsid w:val="00FD00B9"/>
    <w:pPr>
      <w:spacing w:before="40" w:after="40" w:line="240" w:lineRule="auto"/>
    </w:pPr>
    <w:rPr>
      <w:rFonts w:ascii="Noto Sans" w:eastAsia="Noto Sans SC Regular" w:hAnsi="Noto Sans" w:cs="Noto Sans"/>
      <w:color w:val="1E2DBE"/>
      <w:sz w:val="21"/>
      <w:szCs w:val="21"/>
      <w:lang w:val="fr-FR"/>
    </w:rPr>
  </w:style>
  <w:style w:type="paragraph" w:customStyle="1" w:styleId="ReportSub-Title">
    <w:name w:val="Report Sub-Title"/>
    <w:uiPriority w:val="1"/>
    <w:qFormat/>
    <w:rsid w:val="00EB1868"/>
    <w:pPr>
      <w:spacing w:before="240" w:after="0" w:line="240" w:lineRule="auto"/>
    </w:pPr>
    <w:rPr>
      <w:rFonts w:ascii="Overpass Light" w:eastAsia="Noto Sans SC Regular" w:hAnsi="Overpass Light" w:cs="Overpass Light"/>
      <w:color w:val="230050"/>
      <w:sz w:val="40"/>
      <w:szCs w:val="40"/>
      <w:lang w:val="fr-FR"/>
    </w:rPr>
  </w:style>
  <w:style w:type="paragraph" w:customStyle="1" w:styleId="ReportTitle0">
    <w:name w:val="Report Title"/>
    <w:qFormat/>
    <w:rsid w:val="00EB1868"/>
    <w:pPr>
      <w:numPr>
        <w:numId w:val="7"/>
      </w:numPr>
      <w:spacing w:before="480" w:after="0" w:line="240" w:lineRule="auto"/>
    </w:pPr>
    <w:rPr>
      <w:rFonts w:ascii="Overpass" w:eastAsia="Noto Sans SC Bold" w:hAnsi="Overpass" w:cs="Overpass"/>
      <w:b/>
      <w:bCs/>
      <w:color w:val="230050"/>
      <w:sz w:val="52"/>
      <w:szCs w:val="52"/>
      <w:lang w:val="fr-FR"/>
    </w:rPr>
  </w:style>
  <w:style w:type="paragraph" w:customStyle="1" w:styleId="ILCReportTypItem">
    <w:name w:val="ILC Report Typ &amp; Item"/>
    <w:rsid w:val="00EB1868"/>
    <w:pPr>
      <w:spacing w:before="120" w:after="120" w:line="240" w:lineRule="auto"/>
    </w:pPr>
    <w:rPr>
      <w:rFonts w:ascii="Overpass" w:eastAsia="Noto Sans SC Bold" w:hAnsi="Overpass" w:cs="Overpass"/>
      <w:b/>
      <w:bCs/>
      <w:color w:val="1E2DBE"/>
      <w:sz w:val="24"/>
      <w:szCs w:val="24"/>
      <w:lang w:val="fr-FR"/>
    </w:rPr>
  </w:style>
  <w:style w:type="paragraph" w:customStyle="1" w:styleId="ReportCopyright">
    <w:name w:val="Report Copyright"/>
    <w:uiPriority w:val="17"/>
    <w:rsid w:val="007171CB"/>
    <w:pPr>
      <w:spacing w:after="60" w:line="240" w:lineRule="auto"/>
      <w:jc w:val="both"/>
    </w:pPr>
    <w:rPr>
      <w:rFonts w:ascii="Noto Sans" w:eastAsia="Noto Sans SC Regular" w:hAnsi="Noto Sans" w:cs="Noto Sans"/>
      <w:sz w:val="18"/>
      <w:szCs w:val="18"/>
      <w:lang w:val="fr-FR"/>
    </w:rPr>
  </w:style>
  <w:style w:type="paragraph" w:customStyle="1" w:styleId="ReportCopyrightISBN">
    <w:name w:val="Report Copyright ISBN"/>
    <w:basedOn w:val="ReportCopyright"/>
    <w:uiPriority w:val="17"/>
    <w:rsid w:val="007171CB"/>
    <w:pPr>
      <w:spacing w:after="0"/>
      <w:jc w:val="left"/>
    </w:pPr>
  </w:style>
  <w:style w:type="paragraph" w:customStyle="1" w:styleId="ReportCopyrightPrint">
    <w:name w:val="Report Copyright Print"/>
    <w:basedOn w:val="ReportCopyright"/>
    <w:uiPriority w:val="17"/>
    <w:rsid w:val="007171CB"/>
    <w:pPr>
      <w:spacing w:after="0"/>
    </w:pPr>
    <w:rPr>
      <w:sz w:val="16"/>
      <w:szCs w:val="16"/>
    </w:rPr>
  </w:style>
  <w:style w:type="paragraph" w:customStyle="1" w:styleId="ReportPara">
    <w:name w:val="Report Para"/>
    <w:link w:val="ReportParaChar"/>
    <w:uiPriority w:val="4"/>
    <w:qFormat/>
    <w:rsid w:val="00EB1868"/>
    <w:pPr>
      <w:spacing w:before="120" w:after="120" w:line="240" w:lineRule="auto"/>
      <w:jc w:val="both"/>
    </w:pPr>
    <w:rPr>
      <w:rFonts w:ascii="Noto Sans" w:eastAsia="Noto Sans SC Regular" w:hAnsi="Noto Sans" w:cs="Noto Sans"/>
      <w:sz w:val="20"/>
      <w:szCs w:val="20"/>
      <w:lang w:val="fr-FR"/>
    </w:rPr>
  </w:style>
  <w:style w:type="character" w:customStyle="1" w:styleId="ReportParaChar">
    <w:name w:val="Report Para Char"/>
    <w:basedOn w:val="DefaultParagraphFont"/>
    <w:link w:val="ReportPara"/>
    <w:uiPriority w:val="4"/>
    <w:rsid w:val="00EB1868"/>
    <w:rPr>
      <w:rFonts w:ascii="Noto Sans" w:eastAsia="Noto Sans SC Regular" w:hAnsi="Noto Sans" w:cs="Noto Sans"/>
      <w:sz w:val="20"/>
      <w:szCs w:val="20"/>
      <w:lang w:val="fr-FR"/>
    </w:rPr>
  </w:style>
  <w:style w:type="paragraph" w:customStyle="1" w:styleId="ReportParaIndentFirstline">
    <w:name w:val="Report Para Indent First line"/>
    <w:basedOn w:val="ReportPara"/>
    <w:uiPriority w:val="4"/>
    <w:qFormat/>
    <w:rsid w:val="00EB1868"/>
    <w:pPr>
      <w:ind w:firstLine="567"/>
    </w:pPr>
  </w:style>
  <w:style w:type="character" w:styleId="UnresolvedMention">
    <w:name w:val="Unresolved Mention"/>
    <w:basedOn w:val="DefaultParagraphFont"/>
    <w:uiPriority w:val="99"/>
    <w:semiHidden/>
    <w:unhideWhenUsed/>
    <w:rsid w:val="000C76E1"/>
    <w:rPr>
      <w:color w:val="605E5C"/>
      <w:shd w:val="clear" w:color="auto" w:fill="E1DFDD"/>
    </w:rPr>
  </w:style>
  <w:style w:type="character" w:styleId="CommentReference">
    <w:name w:val="annotation reference"/>
    <w:basedOn w:val="DefaultParagraphFont"/>
    <w:uiPriority w:val="99"/>
    <w:semiHidden/>
    <w:unhideWhenUsed/>
    <w:rsid w:val="00415D00"/>
    <w:rPr>
      <w:sz w:val="16"/>
      <w:szCs w:val="16"/>
    </w:rPr>
  </w:style>
  <w:style w:type="paragraph" w:styleId="CommentText">
    <w:name w:val="annotation text"/>
    <w:basedOn w:val="Normal"/>
    <w:link w:val="CommentTextChar"/>
    <w:uiPriority w:val="99"/>
    <w:unhideWhenUsed/>
    <w:rsid w:val="00415D00"/>
    <w:pPr>
      <w:spacing w:line="240" w:lineRule="auto"/>
    </w:pPr>
    <w:rPr>
      <w:sz w:val="20"/>
      <w:szCs w:val="20"/>
    </w:rPr>
  </w:style>
  <w:style w:type="character" w:customStyle="1" w:styleId="CommentTextChar">
    <w:name w:val="Comment Text Char"/>
    <w:basedOn w:val="DefaultParagraphFont"/>
    <w:link w:val="CommentText"/>
    <w:uiPriority w:val="99"/>
    <w:rsid w:val="00415D00"/>
    <w:rPr>
      <w:rFonts w:ascii="Noto Sans" w:hAnsi="Noto Sans" w:cs="Noto Sans"/>
      <w:sz w:val="20"/>
      <w:szCs w:val="20"/>
      <w:lang w:val="en-GB"/>
    </w:rPr>
  </w:style>
  <w:style w:type="paragraph" w:styleId="CommentSubject">
    <w:name w:val="annotation subject"/>
    <w:basedOn w:val="CommentText"/>
    <w:next w:val="CommentText"/>
    <w:link w:val="CommentSubjectChar"/>
    <w:uiPriority w:val="99"/>
    <w:semiHidden/>
    <w:unhideWhenUsed/>
    <w:rsid w:val="00415D00"/>
    <w:rPr>
      <w:b/>
      <w:bCs/>
    </w:rPr>
  </w:style>
  <w:style w:type="character" w:customStyle="1" w:styleId="CommentSubjectChar">
    <w:name w:val="Comment Subject Char"/>
    <w:basedOn w:val="CommentTextChar"/>
    <w:link w:val="CommentSubject"/>
    <w:uiPriority w:val="99"/>
    <w:semiHidden/>
    <w:rsid w:val="00415D00"/>
    <w:rPr>
      <w:rFonts w:ascii="Noto Sans" w:hAnsi="Noto Sans" w:cs="Noto Sans"/>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lo.org/publn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frro.org" TargetMode="External"/><Relationship Id="rId17" Type="http://schemas.openxmlformats.org/officeDocument/2006/relationships/hyperlink" Target="mailto:jur@ilo.org" TargetMode="External"/><Relationship Id="rId2" Type="http://schemas.openxmlformats.org/officeDocument/2006/relationships/numbering" Target="numbering.xml"/><Relationship Id="rId16" Type="http://schemas.openxmlformats.org/officeDocument/2006/relationships/hyperlink" Target="https://www.ilo.org/ilc/ILCSessions/111/reports/reports-to-the-conference/lang--fr/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ghts@ilo.org" TargetMode="Externa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8" Type="http://schemas.openxmlformats.org/officeDocument/2006/relationships/hyperlink" Target="https://www.ilo.org/wcmsp5/groups/public/---ed_norm/---relconf/documents/meetingdocument/wcms_848641.pdf" TargetMode="External"/><Relationship Id="rId3" Type="http://schemas.openxmlformats.org/officeDocument/2006/relationships/hyperlink" Target="https://www.ilo.org/global/standards/WCMS_449688/lang--fr/index.htm" TargetMode="External"/><Relationship Id="rId7" Type="http://schemas.openxmlformats.org/officeDocument/2006/relationships/hyperlink" Target="https://www.ilo.org/wcmsp5/groups/public/---ed_norm/---relconf/documents/meetingdocument/wcms_725136.pdf" TargetMode="External"/><Relationship Id="rId12" Type="http://schemas.openxmlformats.org/officeDocument/2006/relationships/hyperlink" Target="https://www.ilo.org/wcmsp5/groups/public/---ed_norm/---normes/documents/genericdocument/wcms_636221.pdf" TargetMode="External"/><Relationship Id="rId2" Type="http://schemas.openxmlformats.org/officeDocument/2006/relationships/hyperlink" Target="https://www.ilo.org/wcmsp5/groups/public/---ed_norm/---relconf/documents/meetingdocument/wcms_839620.pdf" TargetMode="External"/><Relationship Id="rId1" Type="http://schemas.openxmlformats.org/officeDocument/2006/relationships/hyperlink" Target="https://www.ilo.org/wcmsp5/groups/public/---ed_norm/---relconf/documents/meetingdocument/wcms_822205.pdf" TargetMode="External"/><Relationship Id="rId6" Type="http://schemas.openxmlformats.org/officeDocument/2006/relationships/hyperlink" Target="https://www.ilo.org/wcmsp5/groups/public/---ed_norm/---relconf/documents/meetingdocument/wcms_415591.pdf" TargetMode="External"/><Relationship Id="rId11" Type="http://schemas.openxmlformats.org/officeDocument/2006/relationships/hyperlink" Target="https://www.ilo.org/wcmsp5/groups/public/---ed_norm/---normes/documents/genericdocument/wcms_638122.pdf" TargetMode="External"/><Relationship Id="rId5" Type="http://schemas.openxmlformats.org/officeDocument/2006/relationships/hyperlink" Target="https://www.ilo.org/wcmsp5/groups/public/---ed_norm/---relconf/documents/meetingdocument/wcms_646489.pdf" TargetMode="External"/><Relationship Id="rId10" Type="http://schemas.openxmlformats.org/officeDocument/2006/relationships/hyperlink" Target="https://www.ilo.org/wcmsp5/groups/public/---ed_norm/---normes/documents/genericdocument/wcms_636216.pdf" TargetMode="External"/><Relationship Id="rId4" Type="http://schemas.openxmlformats.org/officeDocument/2006/relationships/hyperlink" Target="https://www.ilo.org/wcmsp5/groups/public/---ed_norm/---relconf/documents/meetingdocument/wcms_648666.pdf" TargetMode="External"/><Relationship Id="rId9" Type="http://schemas.openxmlformats.org/officeDocument/2006/relationships/hyperlink" Target="https://www.ilo.org/wcmsp5/groups/public/---ed_norm/---normes/documents/genericdocument/wcms_6362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6B04ED-1573-4837-B18A-DD407B9EA663}">
  <we:reference id="d128c84c-f807-495a-9a8f-aa9104c56cb6" version="1.0.0.0" store="\\gva-fil-48.ad.ilo.org\V-HQ-95-00-01\ILO\UAT"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946D6-8957-4B35-9E06-BE6D9101B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2248</Words>
  <Characters>12816</Characters>
  <Application>Microsoft Office Word</Application>
  <DocSecurity>0</DocSecurity>
  <Lines>106</Lines>
  <Paragraphs>30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Abrogation de quatre conventions internationales du travail</vt:lpstr>
      <vt:lpstr/>
    </vt:vector>
  </TitlesOfParts>
  <Company>ILO</Company>
  <LinksUpToDate>false</LinksUpToDate>
  <CharactersWithSpaces>15034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Abrogation de quatre conventions internationales du travail</dc:title>
  <dc:subject>JUR-220926-001</dc:subject>
  <dc:creator>Griot, Chloé</dc:creator>
  <cp:keywords>CIT112/VII(1)</cp:keywords>
  <dc:description>Mep (ChG)
relu (ChG)</dc:description>
  <cp:lastModifiedBy>Pinoargote, Paola</cp:lastModifiedBy>
  <cp:revision>3</cp:revision>
  <cp:lastPrinted>2022-11-14T14:40:00Z</cp:lastPrinted>
  <dcterms:created xsi:type="dcterms:W3CDTF">2022-11-21T10:54:00Z</dcterms:created>
  <dcterms:modified xsi:type="dcterms:W3CDTF">2022-11-21T10:54:00Z</dcterms:modified>
</cp:coreProperties>
</file>