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39"/>
      </w:tblGrid>
      <w:tr w:rsidR="00C60F6F" w:rsidRPr="00C14A63" w14:paraId="0EE9C32C" w14:textId="77777777" w:rsidTr="00F47901">
        <w:trPr>
          <w:trHeight w:val="3118"/>
        </w:trPr>
        <w:tc>
          <w:tcPr>
            <w:tcW w:w="9639" w:type="dxa"/>
            <w:tcBorders>
              <w:top w:val="nil"/>
              <w:left w:val="nil"/>
              <w:bottom w:val="nil"/>
              <w:right w:val="nil"/>
            </w:tcBorders>
            <w:vAlign w:val="bottom"/>
          </w:tcPr>
          <w:bookmarkStart w:id="0" w:name="GBNoTocFr"/>
          <w:p w14:paraId="340DC275" w14:textId="77777777" w:rsidR="00C60F6F" w:rsidRPr="00C14A63" w:rsidRDefault="00254CC8" w:rsidP="00254CC8">
            <w:pPr>
              <w:pStyle w:val="ReportTypItem"/>
            </w:pPr>
            <w:r w:rsidRPr="00254CC8">
              <w:rPr>
                <w:lang w:val="de-DE"/>
              </w:rPr>
              <w:fldChar w:fldCharType="begin"/>
            </w:r>
            <w:r w:rsidRPr="00254CC8">
              <w:rPr>
                <w:lang w:val="en-GB"/>
              </w:rPr>
              <w:instrText xml:space="preserve"> MERGEFIELD  Rel.ReportLabel  \* MERGEFORMAT </w:instrText>
            </w:r>
            <w:r w:rsidRPr="00254CC8">
              <w:rPr>
                <w:lang w:val="de-DE"/>
              </w:rPr>
              <w:fldChar w:fldCharType="separate"/>
            </w:r>
            <w:r w:rsidR="00843118">
              <w:rPr>
                <w:noProof/>
                <w:lang w:val="en-GB"/>
              </w:rPr>
              <w:t>Informe</w:t>
            </w:r>
            <w:r w:rsidRPr="00254CC8">
              <w:fldChar w:fldCharType="end"/>
            </w:r>
            <w:r w:rsidR="00C60F6F" w:rsidRPr="00C14A63">
              <w:t xml:space="preserve"> </w:t>
            </w:r>
            <w:fldSimple w:instr=" MERGEFIELD  Rel.ReportType  \* MERGEFORMAT ">
              <w:r w:rsidR="00843118">
                <w:rPr>
                  <w:noProof/>
                </w:rPr>
                <w:t>VII</w:t>
              </w:r>
            </w:fldSimple>
            <w:r w:rsidR="00C60F6F" w:rsidRPr="00C14A63">
              <w:t xml:space="preserve"> </w:t>
            </w:r>
            <w:fldSimple w:instr=" MERGEFIELD  Rel.ReportSubType  \* MERGEFORMAT ">
              <w:r w:rsidR="00843118">
                <w:rPr>
                  <w:noProof/>
                </w:rPr>
                <w:t>(1)</w:t>
              </w:r>
            </w:fldSimple>
            <w:r w:rsidR="00B54061" w:rsidRPr="00C14A63">
              <w:t xml:space="preserve"> </w:t>
            </w:r>
          </w:p>
        </w:tc>
      </w:tr>
      <w:tr w:rsidR="00C60F6F" w:rsidRPr="00F57EFF" w14:paraId="145C8AB5" w14:textId="77777777" w:rsidTr="00F47901">
        <w:trPr>
          <w:trHeight w:val="1984"/>
        </w:trPr>
        <w:tc>
          <w:tcPr>
            <w:tcW w:w="9639" w:type="dxa"/>
            <w:tcBorders>
              <w:top w:val="nil"/>
              <w:left w:val="nil"/>
              <w:bottom w:val="nil"/>
              <w:right w:val="nil"/>
            </w:tcBorders>
            <w:vAlign w:val="center"/>
          </w:tcPr>
          <w:p w14:paraId="38F11918" w14:textId="77777777" w:rsidR="00C60F6F" w:rsidRPr="00C14A63" w:rsidRDefault="006B56E1" w:rsidP="00F1457C">
            <w:pPr>
              <w:pStyle w:val="ReportTitle0"/>
            </w:pPr>
            <w:fldSimple w:instr=" MERGEFIELD  Rel.ReportTitle  \* MERGEFORMAT ">
              <w:r w:rsidR="00843118">
                <w:rPr>
                  <w:noProof/>
                </w:rPr>
                <w:t></w:t>
              </w:r>
              <w:r w:rsidR="00843118">
                <w:rPr>
                  <w:noProof/>
                </w:rPr>
                <w:tab/>
                <w:t>Derogación de cuatro convenios internacionales del trabajo</w:t>
              </w:r>
            </w:fldSimple>
          </w:p>
        </w:tc>
      </w:tr>
      <w:tr w:rsidR="00C60F6F" w:rsidRPr="00F57EFF" w14:paraId="28CDEE90"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1417"/>
        </w:trPr>
        <w:tc>
          <w:tcPr>
            <w:tcW w:w="9639" w:type="dxa"/>
          </w:tcPr>
          <w:p w14:paraId="3D420531" w14:textId="77777777" w:rsidR="00C60F6F" w:rsidRPr="00C14A63" w:rsidRDefault="00C60F6F" w:rsidP="00153DDA">
            <w:pPr>
              <w:pStyle w:val="ReportSub-Title"/>
            </w:pPr>
            <w:r w:rsidRPr="00C14A63">
              <w:rPr>
                <w:b/>
                <w:iCs/>
              </w:rPr>
              <w:fldChar w:fldCharType="begin"/>
            </w:r>
            <w:r w:rsidRPr="00C14A63">
              <w:rPr>
                <w:iCs/>
              </w:rPr>
              <w:instrText xml:space="preserve"> MERGEFIELD  Rel.SubTitle  \* MERGEFORMAT </w:instrText>
            </w:r>
            <w:r w:rsidR="00EA6BFE">
              <w:rPr>
                <w:b/>
                <w:iCs/>
              </w:rPr>
              <w:fldChar w:fldCharType="separate"/>
            </w:r>
            <w:r w:rsidRPr="00C14A63">
              <w:rPr>
                <w:iCs/>
              </w:rPr>
              <w:fldChar w:fldCharType="end"/>
            </w:r>
          </w:p>
        </w:tc>
      </w:tr>
      <w:tr w:rsidR="00C60F6F" w:rsidRPr="00F57EFF" w14:paraId="322CD8F1"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1701"/>
        </w:trPr>
        <w:tc>
          <w:tcPr>
            <w:tcW w:w="9639" w:type="dxa"/>
          </w:tcPr>
          <w:p w14:paraId="7F45C1E8" w14:textId="77777777" w:rsidR="00C60F6F" w:rsidRPr="00C14A63" w:rsidRDefault="006B56E1" w:rsidP="00A84036">
            <w:pPr>
              <w:pStyle w:val="ReportTypItem"/>
              <w:rPr>
                <w:rFonts w:ascii="Overpass Light" w:hAnsi="Overpass Light"/>
                <w:color w:val="230050"/>
              </w:rPr>
            </w:pPr>
            <w:fldSimple w:instr=" MERGEFIELD  Rel.QuestionNumber  \* MERGEFORMAT ">
              <w:r w:rsidR="00843118">
                <w:rPr>
                  <w:noProof/>
                </w:rPr>
                <w:t>Séptimo punto del orden del día</w:t>
              </w:r>
            </w:fldSimple>
          </w:p>
        </w:tc>
      </w:tr>
      <w:tr w:rsidR="00C60F6F" w:rsidRPr="00F57EFF" w14:paraId="69B5DB91"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268"/>
        </w:trPr>
        <w:tc>
          <w:tcPr>
            <w:tcW w:w="9639" w:type="dxa"/>
            <w:tcBorders>
              <w:bottom w:val="nil"/>
            </w:tcBorders>
            <w:vAlign w:val="center"/>
          </w:tcPr>
          <w:p w14:paraId="7D8B7289" w14:textId="77777777" w:rsidR="00C60F6F" w:rsidRPr="00C14A63" w:rsidRDefault="00C60F6F" w:rsidP="005B1D1D">
            <w:pPr>
              <w:pStyle w:val="ReportTypItem"/>
            </w:pPr>
          </w:p>
        </w:tc>
      </w:tr>
      <w:tr w:rsidR="00C60F6F" w:rsidRPr="00F57EFF" w14:paraId="42DDB112"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3118"/>
        </w:trPr>
        <w:tc>
          <w:tcPr>
            <w:tcW w:w="9639" w:type="dxa"/>
            <w:vAlign w:val="bottom"/>
          </w:tcPr>
          <w:p w14:paraId="00B535CD" w14:textId="77777777" w:rsidR="00C60F6F" w:rsidRPr="00C14A63" w:rsidRDefault="00BE214E" w:rsidP="00BE214E">
            <w:pPr>
              <w:pStyle w:val="ReportAuthors"/>
            </w:pPr>
            <w:r w:rsidRPr="00C14A63">
              <w:t>Oficina Internacional del Trabajo, Ginebra</w:t>
            </w:r>
          </w:p>
        </w:tc>
      </w:tr>
    </w:tbl>
    <w:p w14:paraId="4DDED0D6" w14:textId="77777777" w:rsidR="001B6BEE" w:rsidRPr="00C14A63" w:rsidRDefault="001B6BEE" w:rsidP="00C12131">
      <w:pPr>
        <w:pStyle w:val="ReportPara"/>
        <w:sectPr w:rsidR="001B6BEE" w:rsidRPr="00C14A63" w:rsidSect="002B76AE">
          <w:headerReference w:type="even" r:id="rId8"/>
          <w:headerReference w:type="default" r:id="rId9"/>
          <w:headerReference w:type="first" r:id="rId10"/>
          <w:pgSz w:w="11906" w:h="16838" w:code="9"/>
          <w:pgMar w:top="2268" w:right="1134" w:bottom="964" w:left="1134" w:header="851" w:footer="680" w:gutter="0"/>
          <w:cols w:space="708"/>
          <w:titlePg/>
          <w:docGrid w:linePitch="360"/>
        </w:sectPr>
      </w:pPr>
    </w:p>
    <w:tbl>
      <w:tblPr>
        <w:tblW w:w="9639" w:type="dxa"/>
        <w:tblCellMar>
          <w:left w:w="0" w:type="dxa"/>
          <w:right w:w="0" w:type="dxa"/>
        </w:tblCellMar>
        <w:tblLook w:val="0000" w:firstRow="0" w:lastRow="0" w:firstColumn="0" w:lastColumn="0" w:noHBand="0" w:noVBand="0"/>
      </w:tblPr>
      <w:tblGrid>
        <w:gridCol w:w="9639"/>
      </w:tblGrid>
      <w:tr w:rsidR="00F47901" w:rsidRPr="00C14A63" w14:paraId="1C67D4A7" w14:textId="77777777" w:rsidTr="002B76AE">
        <w:trPr>
          <w:trHeight w:hRule="exact" w:val="567"/>
        </w:trPr>
        <w:tc>
          <w:tcPr>
            <w:tcW w:w="5000" w:type="pct"/>
            <w:vAlign w:val="bottom"/>
          </w:tcPr>
          <w:p w14:paraId="77FE8A1D" w14:textId="27F34DEE" w:rsidR="00F47901" w:rsidRDefault="00EE56E3" w:rsidP="00EE56E3">
            <w:pPr>
              <w:pStyle w:val="ReportCopyright"/>
              <w:rPr>
                <w:lang w:val="es-MX"/>
              </w:rPr>
            </w:pPr>
            <w:bookmarkStart w:id="1" w:name="_Toc84174024"/>
            <w:r w:rsidRPr="00EE56E3">
              <w:rPr>
                <w:lang w:val="es-MX"/>
              </w:rPr>
              <w:lastRenderedPageBreak/>
              <w:t>Copyright © Organización Internacional del Trabajo 20</w:t>
            </w:r>
            <w:r w:rsidR="00764B03">
              <w:rPr>
                <w:lang w:val="es-MX"/>
              </w:rPr>
              <w:t>22</w:t>
            </w:r>
          </w:p>
          <w:p w14:paraId="7B057BB5" w14:textId="157A2437" w:rsidR="00EE56E3" w:rsidRPr="00C14A63" w:rsidRDefault="00EE56E3" w:rsidP="00EE56E3">
            <w:pPr>
              <w:pStyle w:val="ReportCopyright"/>
            </w:pPr>
            <w:r w:rsidRPr="00EE56E3">
              <w:rPr>
                <w:lang w:val="es-MX"/>
              </w:rPr>
              <w:t>Primera edición 20</w:t>
            </w:r>
            <w:r w:rsidR="00764B03">
              <w:rPr>
                <w:lang w:val="es-MX"/>
              </w:rPr>
              <w:t>2</w:t>
            </w:r>
            <w:r w:rsidR="0048569A">
              <w:rPr>
                <w:lang w:val="es-MX"/>
              </w:rPr>
              <w:t>2</w:t>
            </w:r>
          </w:p>
        </w:tc>
      </w:tr>
      <w:tr w:rsidR="00F47901" w:rsidRPr="00F57EFF" w14:paraId="76C0E7AF" w14:textId="77777777" w:rsidTr="00EE56E3">
        <w:trPr>
          <w:trHeight w:hRule="exact" w:val="2494"/>
        </w:trPr>
        <w:tc>
          <w:tcPr>
            <w:tcW w:w="5000" w:type="pct"/>
            <w:vAlign w:val="bottom"/>
          </w:tcPr>
          <w:p w14:paraId="5655D4EC" w14:textId="67BD0932" w:rsidR="00F47901" w:rsidRPr="00EE56E3" w:rsidRDefault="00EE56E3" w:rsidP="00EE56E3">
            <w:pPr>
              <w:pStyle w:val="ReportCopyright"/>
            </w:pPr>
            <w:r w:rsidRPr="00EE56E3">
              <w:t>Las publicaciones de la Organización Internacional del Trabajo (OIT) gozan de la protección de los derechos de propiedad intelectual en virtud del protocolo 2 anexo a la Convención Universal sobre Derecho de Autor.</w:t>
            </w:r>
            <w:r w:rsidR="003C1C75">
              <w:t xml:space="preserve"> </w:t>
            </w:r>
            <w:r w:rsidRPr="00EE56E3">
              <w:t>No obstante, ciertos extractos breves de estas publicaciones pueden reproducirse sin autorización, con la condición de que se mencione la fuente.</w:t>
            </w:r>
            <w:r w:rsidR="003C1C75">
              <w:t xml:space="preserve"> </w:t>
            </w:r>
            <w:r w:rsidRPr="00EE56E3">
              <w:t xml:space="preserve">Para obtener los derechos de reproducción o de traducción, deben formularse las correspondientes solicitudes a Publicaciones de la OIT (Derechos de autor y licencias), Oficina Internacional del Trabajo, CH-1211 Ginebra 22, Suiza, o por correo electrónico a </w:t>
            </w:r>
            <w:hyperlink r:id="rId11" w:history="1">
              <w:r w:rsidRPr="00EE56E3">
                <w:rPr>
                  <w:rStyle w:val="ReportHyperlink"/>
                </w:rPr>
                <w:t>rights@ilo.org</w:t>
              </w:r>
            </w:hyperlink>
            <w:r w:rsidRPr="00EE56E3">
              <w:t>, solicitudes que serán bien acogidas.</w:t>
            </w:r>
          </w:p>
          <w:p w14:paraId="35D63BCD" w14:textId="77777777" w:rsidR="00EE56E3" w:rsidRPr="00EE56E3" w:rsidRDefault="00EE56E3" w:rsidP="00EE56E3">
            <w:pPr>
              <w:pStyle w:val="ReportCopyright"/>
            </w:pPr>
            <w:r w:rsidRPr="00EE56E3">
              <w:t xml:space="preserve">Las bibliotecas, instituciones y otros usuarios registrados ante una organización de derechos de reproducción pueden hacer copias de acuerdo con las licencias que se les hayan expedido con ese fin. En </w:t>
            </w:r>
            <w:hyperlink r:id="rId12" w:history="1">
              <w:r w:rsidRPr="00EE56E3">
                <w:rPr>
                  <w:rStyle w:val="ReportHyperlink"/>
                </w:rPr>
                <w:t>www.ifrro.org</w:t>
              </w:r>
            </w:hyperlink>
            <w:r w:rsidRPr="00EE56E3">
              <w:t xml:space="preserve"> puede encontrar la organización de derechos de reproducción de su país.</w:t>
            </w:r>
          </w:p>
        </w:tc>
      </w:tr>
      <w:tr w:rsidR="00F47901" w:rsidRPr="00F57EFF" w14:paraId="49F52E14" w14:textId="77777777" w:rsidTr="002B76AE">
        <w:trPr>
          <w:trHeight w:hRule="exact" w:val="227"/>
        </w:trPr>
        <w:tc>
          <w:tcPr>
            <w:tcW w:w="5000" w:type="pct"/>
            <w:tcBorders>
              <w:bottom w:val="single" w:sz="4" w:space="0" w:color="auto"/>
            </w:tcBorders>
            <w:vAlign w:val="bottom"/>
          </w:tcPr>
          <w:p w14:paraId="618517F6" w14:textId="77777777" w:rsidR="00F47901" w:rsidRPr="00C14A63" w:rsidRDefault="00F47901" w:rsidP="00153DDA">
            <w:pPr>
              <w:pStyle w:val="ReportCopyright"/>
            </w:pPr>
          </w:p>
        </w:tc>
      </w:tr>
      <w:tr w:rsidR="00F47901" w:rsidRPr="00F57EFF" w14:paraId="328DD8D1" w14:textId="77777777" w:rsidTr="002B76AE">
        <w:trPr>
          <w:trHeight w:hRule="exact" w:val="227"/>
        </w:trPr>
        <w:tc>
          <w:tcPr>
            <w:tcW w:w="5000" w:type="pct"/>
            <w:tcBorders>
              <w:top w:val="single" w:sz="4" w:space="0" w:color="auto"/>
            </w:tcBorders>
            <w:vAlign w:val="bottom"/>
          </w:tcPr>
          <w:p w14:paraId="5DF59CD1" w14:textId="77777777" w:rsidR="00F47901" w:rsidRPr="00C14A63" w:rsidRDefault="00F47901" w:rsidP="00153DDA">
            <w:pPr>
              <w:pStyle w:val="ReportCopyright"/>
            </w:pPr>
          </w:p>
        </w:tc>
      </w:tr>
      <w:tr w:rsidR="00F47901" w:rsidRPr="00F57EFF" w14:paraId="29E8411F" w14:textId="77777777" w:rsidTr="00BE214E">
        <w:trPr>
          <w:trHeight w:hRule="exact" w:val="4876"/>
        </w:trPr>
        <w:tc>
          <w:tcPr>
            <w:tcW w:w="5000" w:type="pct"/>
          </w:tcPr>
          <w:p w14:paraId="06C38A11" w14:textId="77777777" w:rsidR="00EE56E3" w:rsidRPr="00D960EF" w:rsidRDefault="00EE56E3" w:rsidP="00D960EF">
            <w:pPr>
              <w:pStyle w:val="ReportCopyrightISBN"/>
            </w:pPr>
          </w:p>
          <w:p w14:paraId="1694743D" w14:textId="61C16502" w:rsidR="00EE56E3" w:rsidRPr="00D960EF" w:rsidRDefault="00123FA8" w:rsidP="00D960EF">
            <w:pPr>
              <w:pStyle w:val="ReportCopyrightISBN"/>
            </w:pPr>
            <w:r w:rsidRPr="00123FA8">
              <w:rPr>
                <w:i/>
                <w:iCs/>
              </w:rPr>
              <w:fldChar w:fldCharType="begin"/>
            </w:r>
            <w:r w:rsidRPr="00123FA8">
              <w:rPr>
                <w:i/>
                <w:iCs/>
              </w:rPr>
              <w:instrText xml:space="preserve"> MERGEFIELD  Rel.ReportTitle  \* MERGEFORMAT </w:instrText>
            </w:r>
            <w:r w:rsidRPr="00123FA8">
              <w:rPr>
                <w:i/>
                <w:iCs/>
              </w:rPr>
              <w:fldChar w:fldCharType="separate"/>
            </w:r>
            <w:r w:rsidR="00843118">
              <w:rPr>
                <w:i/>
                <w:iCs/>
                <w:noProof/>
              </w:rPr>
              <w:t>Derogación de cuatro convenios internacionales del trabajo</w:t>
            </w:r>
            <w:r w:rsidRPr="00123FA8">
              <w:rPr>
                <w:i/>
                <w:iCs/>
              </w:rPr>
              <w:fldChar w:fldCharType="end"/>
            </w:r>
            <w:r w:rsidR="00EE56E3" w:rsidRPr="00D960EF">
              <w:t>. Ginebra</w:t>
            </w:r>
            <w:r w:rsidR="00EE56E3" w:rsidRPr="00056C95">
              <w:t>:</w:t>
            </w:r>
            <w:r w:rsidR="00EE56E3" w:rsidRPr="00D960EF">
              <w:t xml:space="preserve"> Oficina Internacional del Trabajo, 20</w:t>
            </w:r>
            <w:r w:rsidR="00764B03">
              <w:t>22</w:t>
            </w:r>
          </w:p>
          <w:p w14:paraId="583BF544" w14:textId="77777777" w:rsidR="00EE56E3" w:rsidRPr="00D960EF" w:rsidRDefault="00EE56E3" w:rsidP="00D960EF">
            <w:pPr>
              <w:pStyle w:val="ReportCopyrightISBN"/>
            </w:pPr>
          </w:p>
          <w:p w14:paraId="0F3D18E2" w14:textId="77777777" w:rsidR="00EE56E3" w:rsidRPr="00D960EF" w:rsidRDefault="00EE56E3" w:rsidP="00D960EF">
            <w:pPr>
              <w:pStyle w:val="ReportCopyrightISBN"/>
            </w:pPr>
          </w:p>
          <w:p w14:paraId="35F04E26" w14:textId="74FDB1DC" w:rsidR="00EE56E3" w:rsidRPr="00D960EF" w:rsidRDefault="00EE56E3" w:rsidP="00D960EF">
            <w:pPr>
              <w:pStyle w:val="ReportCopyrightISBN"/>
            </w:pPr>
            <w:r w:rsidRPr="00D960EF">
              <w:t>ISBN 978-92-2-</w:t>
            </w:r>
            <w:r w:rsidR="002C28B3" w:rsidRPr="002C28B3">
              <w:t>038370</w:t>
            </w:r>
            <w:r w:rsidR="002C28B3">
              <w:t>-</w:t>
            </w:r>
            <w:r w:rsidR="002C28B3" w:rsidRPr="002C28B3">
              <w:t>4</w:t>
            </w:r>
            <w:r w:rsidR="002C28B3" w:rsidRPr="00D960EF">
              <w:t xml:space="preserve"> </w:t>
            </w:r>
            <w:r w:rsidRPr="00D960EF">
              <w:t>(impreso)</w:t>
            </w:r>
          </w:p>
          <w:p w14:paraId="5EF2DC8C" w14:textId="5BAE915E" w:rsidR="00EE56E3" w:rsidRPr="002C28B3" w:rsidRDefault="00EE56E3" w:rsidP="00D960EF">
            <w:pPr>
              <w:pStyle w:val="ReportCopyrightISBN"/>
            </w:pPr>
            <w:r w:rsidRPr="00D960EF">
              <w:t>ISBN 978-92-2-</w:t>
            </w:r>
            <w:r w:rsidR="002C28B3" w:rsidRPr="002C28B3">
              <w:t>038369</w:t>
            </w:r>
            <w:r w:rsidR="002C28B3">
              <w:t>-</w:t>
            </w:r>
            <w:r w:rsidR="002C28B3" w:rsidRPr="002C28B3">
              <w:t>8</w:t>
            </w:r>
            <w:r w:rsidR="002C28B3" w:rsidRPr="00D960EF">
              <w:t xml:space="preserve"> </w:t>
            </w:r>
            <w:r w:rsidRPr="00D960EF">
              <w:t>(web PDF)</w:t>
            </w:r>
          </w:p>
          <w:p w14:paraId="2603D169" w14:textId="50B8263D" w:rsidR="00F47901" w:rsidRPr="00F837DD" w:rsidRDefault="00EE56E3" w:rsidP="00D960EF">
            <w:pPr>
              <w:pStyle w:val="ReportCopyrightISBN"/>
              <w:rPr>
                <w:lang w:val="fr-FR"/>
              </w:rPr>
            </w:pPr>
            <w:r w:rsidRPr="00F837DD">
              <w:rPr>
                <w:lang w:val="fr-FR"/>
              </w:rPr>
              <w:t xml:space="preserve">ISSN 0251-3226 </w:t>
            </w:r>
          </w:p>
          <w:p w14:paraId="7B8567DB" w14:textId="77777777" w:rsidR="00EE56E3" w:rsidRPr="00F837DD" w:rsidRDefault="00EE56E3" w:rsidP="00D960EF">
            <w:pPr>
              <w:pStyle w:val="ReportCopyrightISBN"/>
              <w:rPr>
                <w:lang w:val="fr-FR"/>
              </w:rPr>
            </w:pPr>
          </w:p>
          <w:p w14:paraId="47EE3E09" w14:textId="77777777" w:rsidR="00EE56E3" w:rsidRPr="00F837DD" w:rsidRDefault="00EE56E3" w:rsidP="00D960EF">
            <w:pPr>
              <w:pStyle w:val="ReportCopyrightISBN"/>
              <w:rPr>
                <w:lang w:val="fr-FR"/>
              </w:rPr>
            </w:pPr>
          </w:p>
          <w:p w14:paraId="19CEB451" w14:textId="6C418542" w:rsidR="00EE56E3" w:rsidRPr="00A512F2" w:rsidRDefault="00EE56E3" w:rsidP="00A512F2">
            <w:pPr>
              <w:pStyle w:val="ReportCopyrightISBN"/>
              <w:jc w:val="both"/>
              <w:rPr>
                <w:lang w:val="fr-FR"/>
              </w:rPr>
            </w:pPr>
            <w:proofErr w:type="spellStart"/>
            <w:r w:rsidRPr="00A512F2">
              <w:rPr>
                <w:lang w:val="fr-FR"/>
              </w:rPr>
              <w:t>Publicado</w:t>
            </w:r>
            <w:proofErr w:type="spellEnd"/>
            <w:r w:rsidRPr="00A512F2">
              <w:rPr>
                <w:lang w:val="fr-FR"/>
              </w:rPr>
              <w:t xml:space="preserve"> </w:t>
            </w:r>
            <w:proofErr w:type="spellStart"/>
            <w:r w:rsidRPr="00A512F2">
              <w:rPr>
                <w:lang w:val="fr-FR"/>
              </w:rPr>
              <w:t>también</w:t>
            </w:r>
            <w:proofErr w:type="spellEnd"/>
            <w:r w:rsidRPr="00A512F2">
              <w:rPr>
                <w:lang w:val="fr-FR"/>
              </w:rPr>
              <w:t xml:space="preserve"> en </w:t>
            </w:r>
            <w:proofErr w:type="spellStart"/>
            <w:r w:rsidR="0053579E" w:rsidRPr="00A512F2">
              <w:rPr>
                <w:lang w:val="fr-FR"/>
              </w:rPr>
              <w:t>francés</w:t>
            </w:r>
            <w:proofErr w:type="spellEnd"/>
            <w:r w:rsidRPr="00A512F2">
              <w:rPr>
                <w:lang w:val="fr-FR"/>
              </w:rPr>
              <w:t xml:space="preserve">: </w:t>
            </w:r>
            <w:r w:rsidR="00056C95" w:rsidRPr="00A512F2">
              <w:rPr>
                <w:i/>
                <w:iCs/>
                <w:lang w:val="en-GB"/>
              </w:rPr>
              <w:fldChar w:fldCharType="begin"/>
            </w:r>
            <w:r w:rsidR="00056C95" w:rsidRPr="00A512F2">
              <w:rPr>
                <w:i/>
                <w:iCs/>
                <w:lang w:val="fr-FR"/>
              </w:rPr>
              <w:instrText xml:space="preserve"> MERGEFIELD  Rel.ReportTitle  \* MERGEFORMAT </w:instrText>
            </w:r>
            <w:r w:rsidR="00056C95" w:rsidRPr="00A512F2">
              <w:rPr>
                <w:i/>
                <w:iCs/>
                <w:lang w:val="en-GB"/>
              </w:rPr>
              <w:fldChar w:fldCharType="separate"/>
            </w:r>
            <w:r w:rsidR="00056C95" w:rsidRPr="00A512F2">
              <w:rPr>
                <w:i/>
                <w:iCs/>
                <w:lang w:val="fr-FR"/>
              </w:rPr>
              <w:t>Abrogation de quatre conventions internationales du travail</w:t>
            </w:r>
            <w:r w:rsidR="00056C95" w:rsidRPr="00A512F2">
              <w:rPr>
                <w:i/>
                <w:iCs/>
              </w:rPr>
              <w:fldChar w:fldCharType="end"/>
            </w:r>
            <w:r w:rsidRPr="00A512F2">
              <w:rPr>
                <w:lang w:val="fr-FR"/>
              </w:rPr>
              <w:t xml:space="preserve">, ISBN </w:t>
            </w:r>
            <w:r w:rsidR="002C28B3" w:rsidRPr="00A512F2">
              <w:rPr>
                <w:lang w:val="fr-FR"/>
              </w:rPr>
              <w:t>978-92</w:t>
            </w:r>
            <w:r w:rsidR="00A512F2" w:rsidRPr="00A512F2">
              <w:rPr>
                <w:lang w:val="fr-FR"/>
              </w:rPr>
              <w:t>-</w:t>
            </w:r>
            <w:r w:rsidR="002C28B3" w:rsidRPr="00A512F2">
              <w:rPr>
                <w:lang w:val="fr-FR"/>
              </w:rPr>
              <w:t>2</w:t>
            </w:r>
            <w:r w:rsidR="00A512F2" w:rsidRPr="00A512F2">
              <w:rPr>
                <w:lang w:val="fr-FR"/>
              </w:rPr>
              <w:t>-</w:t>
            </w:r>
            <w:r w:rsidR="002C28B3" w:rsidRPr="00A512F2">
              <w:rPr>
                <w:lang w:val="fr-FR"/>
              </w:rPr>
              <w:t>038368</w:t>
            </w:r>
            <w:r w:rsidR="00A512F2" w:rsidRPr="00A512F2">
              <w:rPr>
                <w:lang w:val="fr-FR"/>
              </w:rPr>
              <w:t>-</w:t>
            </w:r>
            <w:r w:rsidR="002C28B3" w:rsidRPr="00A512F2">
              <w:rPr>
                <w:lang w:val="fr-FR"/>
              </w:rPr>
              <w:t xml:space="preserve">1 </w:t>
            </w:r>
            <w:r w:rsidRPr="00A512F2">
              <w:rPr>
                <w:lang w:val="fr-FR"/>
              </w:rPr>
              <w:t xml:space="preserve">(impreso), </w:t>
            </w:r>
            <w:r w:rsidR="00D960EF" w:rsidRPr="00A512F2">
              <w:rPr>
                <w:lang w:val="fr-FR"/>
              </w:rPr>
              <w:t xml:space="preserve">ISBN </w:t>
            </w:r>
            <w:r w:rsidR="00A512F2" w:rsidRPr="00A512F2">
              <w:rPr>
                <w:lang w:val="fr-FR"/>
              </w:rPr>
              <w:t xml:space="preserve">978-92-2-038367-4 </w:t>
            </w:r>
            <w:r w:rsidRPr="00A512F2">
              <w:rPr>
                <w:lang w:val="fr-FR"/>
              </w:rPr>
              <w:t xml:space="preserve">(web PDF); </w:t>
            </w:r>
            <w:r w:rsidR="0053579E" w:rsidRPr="00A512F2">
              <w:rPr>
                <w:lang w:val="fr-FR"/>
              </w:rPr>
              <w:t>inglés</w:t>
            </w:r>
            <w:r w:rsidRPr="00A512F2">
              <w:rPr>
                <w:lang w:val="fr-FR"/>
              </w:rPr>
              <w:t xml:space="preserve">: </w:t>
            </w:r>
            <w:r w:rsidR="0053579E" w:rsidRPr="00A512F2">
              <w:rPr>
                <w:i/>
                <w:iCs/>
                <w:lang w:val="fr-FR"/>
              </w:rPr>
              <w:t>Abrogation of four international labour Conventions</w:t>
            </w:r>
            <w:r w:rsidRPr="00A512F2">
              <w:rPr>
                <w:lang w:val="fr-FR"/>
              </w:rPr>
              <w:t>, ISBN</w:t>
            </w:r>
            <w:r w:rsidR="00F837DD">
              <w:rPr>
                <w:lang w:val="fr-FR"/>
              </w:rPr>
              <w:t> </w:t>
            </w:r>
            <w:r w:rsidR="00A512F2" w:rsidRPr="00A512F2">
              <w:rPr>
                <w:lang w:val="fr-FR"/>
              </w:rPr>
              <w:t>978</w:t>
            </w:r>
            <w:r w:rsidR="00F837DD">
              <w:rPr>
                <w:lang w:val="fr-FR"/>
              </w:rPr>
              <w:noBreakHyphen/>
            </w:r>
            <w:r w:rsidR="00A512F2" w:rsidRPr="00A512F2">
              <w:rPr>
                <w:lang w:val="fr-FR"/>
              </w:rPr>
              <w:t xml:space="preserve">92-2-038358-2 </w:t>
            </w:r>
            <w:r w:rsidRPr="00A512F2">
              <w:rPr>
                <w:lang w:val="fr-FR"/>
              </w:rPr>
              <w:t>(</w:t>
            </w:r>
            <w:proofErr w:type="spellStart"/>
            <w:r w:rsidRPr="00A512F2">
              <w:rPr>
                <w:lang w:val="fr-FR"/>
              </w:rPr>
              <w:t>impreso</w:t>
            </w:r>
            <w:proofErr w:type="spellEnd"/>
            <w:r w:rsidRPr="00A512F2">
              <w:rPr>
                <w:lang w:val="fr-FR"/>
              </w:rPr>
              <w:t xml:space="preserve">), </w:t>
            </w:r>
            <w:r w:rsidR="00D960EF" w:rsidRPr="00A512F2">
              <w:rPr>
                <w:lang w:val="fr-FR"/>
              </w:rPr>
              <w:t xml:space="preserve">ISBN </w:t>
            </w:r>
            <w:r w:rsidR="00A512F2" w:rsidRPr="00A512F2">
              <w:rPr>
                <w:lang w:val="fr-FR"/>
              </w:rPr>
              <w:t xml:space="preserve">978-92-2-038357-5 </w:t>
            </w:r>
            <w:r w:rsidRPr="00A512F2">
              <w:rPr>
                <w:lang w:val="fr-FR"/>
              </w:rPr>
              <w:t>(web PDF)</w:t>
            </w:r>
            <w:r w:rsidR="0054341E" w:rsidRPr="00A512F2">
              <w:rPr>
                <w:lang w:val="fr-FR"/>
              </w:rPr>
              <w:t>.</w:t>
            </w:r>
          </w:p>
        </w:tc>
      </w:tr>
      <w:tr w:rsidR="00F47901" w:rsidRPr="00F57EFF" w14:paraId="66D4AC2B" w14:textId="77777777" w:rsidTr="0054341E">
        <w:trPr>
          <w:trHeight w:val="1191"/>
        </w:trPr>
        <w:tc>
          <w:tcPr>
            <w:tcW w:w="5000" w:type="pct"/>
            <w:vAlign w:val="bottom"/>
          </w:tcPr>
          <w:p w14:paraId="4E1716DB" w14:textId="77777777" w:rsidR="00F47901" w:rsidRPr="00A512F2" w:rsidRDefault="00F47901" w:rsidP="00007FAC">
            <w:pPr>
              <w:pStyle w:val="ReportCopyright"/>
              <w:rPr>
                <w:lang w:val="fr-FR"/>
              </w:rPr>
            </w:pPr>
          </w:p>
        </w:tc>
      </w:tr>
      <w:tr w:rsidR="00F47901" w:rsidRPr="00F57EFF" w14:paraId="652529EA" w14:textId="77777777" w:rsidTr="002B76AE">
        <w:trPr>
          <w:trHeight w:hRule="exact" w:val="227"/>
        </w:trPr>
        <w:tc>
          <w:tcPr>
            <w:tcW w:w="5000" w:type="pct"/>
            <w:tcBorders>
              <w:bottom w:val="single" w:sz="4" w:space="0" w:color="auto"/>
            </w:tcBorders>
            <w:vAlign w:val="bottom"/>
          </w:tcPr>
          <w:p w14:paraId="07DDDAF2" w14:textId="77777777" w:rsidR="00F47901" w:rsidRPr="00A512F2" w:rsidRDefault="00F47901" w:rsidP="00153DDA">
            <w:pPr>
              <w:pStyle w:val="ReportCopyright"/>
              <w:rPr>
                <w:lang w:val="fr-FR"/>
              </w:rPr>
            </w:pPr>
          </w:p>
        </w:tc>
      </w:tr>
      <w:tr w:rsidR="00F47901" w:rsidRPr="00F57EFF" w14:paraId="0919C5A1" w14:textId="77777777" w:rsidTr="002B76AE">
        <w:trPr>
          <w:trHeight w:hRule="exact" w:val="227"/>
        </w:trPr>
        <w:tc>
          <w:tcPr>
            <w:tcW w:w="5000" w:type="pct"/>
            <w:tcBorders>
              <w:top w:val="single" w:sz="4" w:space="0" w:color="auto"/>
            </w:tcBorders>
            <w:vAlign w:val="bottom"/>
          </w:tcPr>
          <w:p w14:paraId="5DC5D218" w14:textId="77777777" w:rsidR="00F47901" w:rsidRPr="00A512F2" w:rsidRDefault="00F47901" w:rsidP="00153DDA">
            <w:pPr>
              <w:pStyle w:val="ReportCopyright"/>
              <w:rPr>
                <w:lang w:val="fr-FR"/>
              </w:rPr>
            </w:pPr>
          </w:p>
        </w:tc>
      </w:tr>
      <w:tr w:rsidR="00F47901" w:rsidRPr="00F57EFF" w14:paraId="61302912" w14:textId="77777777" w:rsidTr="0054341E">
        <w:trPr>
          <w:trHeight w:hRule="exact" w:val="2665"/>
        </w:trPr>
        <w:tc>
          <w:tcPr>
            <w:tcW w:w="5000" w:type="pct"/>
          </w:tcPr>
          <w:p w14:paraId="3CBF5BF9" w14:textId="77777777" w:rsidR="00F47901" w:rsidRDefault="0054341E" w:rsidP="0054341E">
            <w:pPr>
              <w:pStyle w:val="ReportCopyright"/>
              <w:rPr>
                <w:lang w:val="es-MX"/>
              </w:rPr>
            </w:pPr>
            <w:r w:rsidRPr="0054341E">
              <w:rPr>
                <w:lang w:val="es-MX"/>
              </w:rPr>
              <w:t>Las denominaciones empleadas, en concordancia con la práctica seguida en las Naciones Unidas, y la forma en que aparecen presentados los datos en las publicaciones de la OIT no implican juicio alguno por parte de la OIT sobre la condición jurídica de ninguno de los países, zonas o territorios citados o de sus autoridades, ni respecto de la delimitación de sus fronteras.</w:t>
            </w:r>
          </w:p>
          <w:p w14:paraId="143838ED" w14:textId="77777777" w:rsidR="0054341E" w:rsidRPr="00C14A63" w:rsidRDefault="0054341E" w:rsidP="0054341E">
            <w:pPr>
              <w:pStyle w:val="ReportCopyright"/>
            </w:pPr>
            <w:r w:rsidRPr="0054341E">
              <w:rPr>
                <w:lang w:val="es-MX"/>
              </w:rPr>
              <w:t>La responsabilidad de las opiniones expresadas en los artículos, estudios y otras colaboraciones firmados incumbe exclusivamente a sus autores, y su publicación no significa que la OIT las sancione.</w:t>
            </w:r>
          </w:p>
          <w:p w14:paraId="4BEC8AED" w14:textId="77777777" w:rsidR="00F47901" w:rsidRPr="00C14A63" w:rsidRDefault="0054341E" w:rsidP="0054341E">
            <w:pPr>
              <w:pStyle w:val="ReportCopyright"/>
            </w:pPr>
            <w:r w:rsidRPr="0054341E">
              <w:rPr>
                <w:lang w:val="es-MX"/>
              </w:rPr>
              <w:t>Las referencias a firmas o a procesos o productos comerciales no implican aprobación alguna por la OIT, y el hecho de que no se mencionen firmas o procesos o productos comerciales no implica desaprobación alguna.</w:t>
            </w:r>
          </w:p>
          <w:p w14:paraId="4C9A9418" w14:textId="77777777" w:rsidR="00F47901" w:rsidRPr="00C14A63" w:rsidRDefault="0054341E" w:rsidP="0054341E">
            <w:pPr>
              <w:pStyle w:val="ReportCopyright"/>
            </w:pPr>
            <w:r w:rsidRPr="0054341E">
              <w:rPr>
                <w:lang w:val="es-MX"/>
              </w:rPr>
              <w:t>Para más información sobre las publicaciones y los productos digitales de la OIT, visite nuestro sitio web</w:t>
            </w:r>
            <w:r w:rsidR="00BE214E" w:rsidRPr="00C14A63">
              <w:t xml:space="preserve">: </w:t>
            </w:r>
            <w:hyperlink r:id="rId13" w:history="1">
              <w:r w:rsidR="007A7786" w:rsidRPr="00C14A63">
                <w:rPr>
                  <w:rStyle w:val="ReportHyperlink"/>
                </w:rPr>
                <w:t>www.ilo.org/publns</w:t>
              </w:r>
            </w:hyperlink>
            <w:r w:rsidR="007A7786" w:rsidRPr="00C14A63">
              <w:rPr>
                <w:rStyle w:val="ReportHyperlink"/>
                <w:color w:val="auto"/>
              </w:rPr>
              <w:t>.</w:t>
            </w:r>
          </w:p>
        </w:tc>
      </w:tr>
      <w:tr w:rsidR="00F47901" w:rsidRPr="00F57EFF" w14:paraId="332581D5" w14:textId="77777777" w:rsidTr="002B76AE">
        <w:trPr>
          <w:trHeight w:hRule="exact" w:val="227"/>
        </w:trPr>
        <w:tc>
          <w:tcPr>
            <w:tcW w:w="5000" w:type="pct"/>
            <w:tcBorders>
              <w:bottom w:val="single" w:sz="4" w:space="0" w:color="auto"/>
            </w:tcBorders>
            <w:vAlign w:val="bottom"/>
          </w:tcPr>
          <w:p w14:paraId="0FA474E7" w14:textId="77777777" w:rsidR="00F47901" w:rsidRPr="00C14A63" w:rsidRDefault="00F47901" w:rsidP="00153DDA">
            <w:pPr>
              <w:pStyle w:val="ReportCopyright"/>
            </w:pPr>
          </w:p>
        </w:tc>
      </w:tr>
      <w:tr w:rsidR="00F47901" w:rsidRPr="00F57EFF" w14:paraId="36ECF407" w14:textId="77777777" w:rsidTr="002B76AE">
        <w:trPr>
          <w:trHeight w:hRule="exact" w:val="227"/>
        </w:trPr>
        <w:tc>
          <w:tcPr>
            <w:tcW w:w="5000" w:type="pct"/>
            <w:tcBorders>
              <w:top w:val="single" w:sz="4" w:space="0" w:color="auto"/>
            </w:tcBorders>
            <w:vAlign w:val="bottom"/>
          </w:tcPr>
          <w:p w14:paraId="40F29FE5" w14:textId="77777777" w:rsidR="00F47901" w:rsidRPr="00C14A63" w:rsidRDefault="00F47901" w:rsidP="00153DDA">
            <w:pPr>
              <w:pStyle w:val="ReportCopyright"/>
            </w:pPr>
          </w:p>
        </w:tc>
      </w:tr>
      <w:tr w:rsidR="00F47901" w:rsidRPr="00F57EFF" w14:paraId="1B3531FB" w14:textId="77777777" w:rsidTr="002B76AE">
        <w:tblPrEx>
          <w:tblLook w:val="04A0" w:firstRow="1" w:lastRow="0" w:firstColumn="1" w:lastColumn="0" w:noHBand="0" w:noVBand="1"/>
        </w:tblPrEx>
        <w:tc>
          <w:tcPr>
            <w:tcW w:w="5000" w:type="pct"/>
          </w:tcPr>
          <w:p w14:paraId="3B5A703C" w14:textId="2DA31709" w:rsidR="00F47901" w:rsidRPr="00C14A63" w:rsidRDefault="00BE214E" w:rsidP="00123FA8">
            <w:pPr>
              <w:pStyle w:val="ReportCopyrightPrint"/>
            </w:pPr>
            <w:r w:rsidRPr="00C14A63">
              <w:t xml:space="preserve">Compaginado por </w:t>
            </w:r>
            <w:r w:rsidR="0054341E">
              <w:t>RELMEETINGS</w:t>
            </w:r>
            <w:r w:rsidR="000C76E1" w:rsidRPr="00C14A63">
              <w:t xml:space="preserve">: </w:t>
            </w:r>
            <w:r w:rsidR="00123FA8" w:rsidRPr="00764B03">
              <w:t>ILC</w:t>
            </w:r>
            <w:r w:rsidR="00123FA8" w:rsidRPr="00123FA8">
              <w:rPr>
                <w:lang w:val="en-GB"/>
              </w:rPr>
              <w:fldChar w:fldCharType="begin"/>
            </w:r>
            <w:r w:rsidR="00123FA8" w:rsidRPr="00764B03">
              <w:instrText xml:space="preserve"> MERGEFIELD  Rel.SessionNumber  \* MERGEFORMAT </w:instrText>
            </w:r>
            <w:r w:rsidR="00123FA8" w:rsidRPr="00123FA8">
              <w:rPr>
                <w:lang w:val="en-GB"/>
              </w:rPr>
              <w:fldChar w:fldCharType="separate"/>
            </w:r>
            <w:r w:rsidR="00843118" w:rsidRPr="00764B03">
              <w:rPr>
                <w:noProof/>
              </w:rPr>
              <w:t>11</w:t>
            </w:r>
            <w:r w:rsidR="00764B03">
              <w:rPr>
                <w:noProof/>
              </w:rPr>
              <w:t>2</w:t>
            </w:r>
            <w:r w:rsidR="00123FA8" w:rsidRPr="00123FA8">
              <w:rPr>
                <w:lang w:val="en-GB"/>
              </w:rPr>
              <w:fldChar w:fldCharType="end"/>
            </w:r>
            <w:r w:rsidR="00123FA8" w:rsidRPr="00764B03">
              <w:t>(20</w:t>
            </w:r>
            <w:r w:rsidR="00764B03">
              <w:t>2</w:t>
            </w:r>
            <w:r w:rsidR="00874F8E">
              <w:t>4</w:t>
            </w:r>
            <w:r w:rsidR="00123FA8" w:rsidRPr="00764B03">
              <w:t>)-</w:t>
            </w:r>
            <w:r w:rsidR="00123FA8" w:rsidRPr="00123FA8">
              <w:rPr>
                <w:lang w:val="en-GB"/>
              </w:rPr>
              <w:fldChar w:fldCharType="begin"/>
            </w:r>
            <w:r w:rsidR="00123FA8" w:rsidRPr="00764B03">
              <w:instrText xml:space="preserve"> MERGEFIELD  Rel.ReportTypeHeader  \* MERGEFORMAT </w:instrText>
            </w:r>
            <w:r w:rsidR="00123FA8" w:rsidRPr="00123FA8">
              <w:rPr>
                <w:lang w:val="en-GB"/>
              </w:rPr>
              <w:fldChar w:fldCharType="separate"/>
            </w:r>
            <w:r w:rsidR="00843118" w:rsidRPr="00764B03">
              <w:rPr>
                <w:noProof/>
              </w:rPr>
              <w:t>VII(1)</w:t>
            </w:r>
            <w:r w:rsidR="00123FA8" w:rsidRPr="00123FA8">
              <w:rPr>
                <w:lang w:val="en-GB"/>
              </w:rPr>
              <w:fldChar w:fldCharType="end"/>
            </w:r>
            <w:r w:rsidR="00123FA8" w:rsidRPr="00764B03">
              <w:t>-[</w:t>
            </w:r>
            <w:r w:rsidR="00764B03" w:rsidRPr="00764B03">
              <w:t>JUR-220926-001</w:t>
            </w:r>
            <w:r w:rsidR="0054341E">
              <w:t>]</w:t>
            </w:r>
            <w:r w:rsidR="000C76E1" w:rsidRPr="00C14A63">
              <w:t>-</w:t>
            </w:r>
            <w:r w:rsidRPr="00C14A63">
              <w:t>S</w:t>
            </w:r>
            <w:r w:rsidR="00CD581F">
              <w:t>P</w:t>
            </w:r>
            <w:r w:rsidR="000C76E1" w:rsidRPr="00C14A63">
              <w:t>.docx</w:t>
            </w:r>
          </w:p>
          <w:p w14:paraId="17907069" w14:textId="77777777" w:rsidR="00F47901" w:rsidRPr="00C14A63" w:rsidRDefault="00BE214E" w:rsidP="00BE214E">
            <w:pPr>
              <w:pStyle w:val="ReportCopyrightPrint"/>
            </w:pPr>
            <w:r w:rsidRPr="00C14A63">
              <w:t>Impreso</w:t>
            </w:r>
            <w:r w:rsidR="0054341E">
              <w:t xml:space="preserve"> en</w:t>
            </w:r>
            <w:r w:rsidRPr="00C14A63">
              <w:t xml:space="preserve"> Suiza</w:t>
            </w:r>
            <w:r w:rsidR="0054341E">
              <w:t>.</w:t>
            </w:r>
          </w:p>
        </w:tc>
      </w:tr>
    </w:tbl>
    <w:p w14:paraId="62CB28BF" w14:textId="77777777" w:rsidR="00F47901" w:rsidRPr="00C14A63" w:rsidRDefault="00F47901" w:rsidP="00DB4598">
      <w:pPr>
        <w:pStyle w:val="ReportPara"/>
        <w:sectPr w:rsidR="00F47901" w:rsidRPr="00C14A63" w:rsidSect="002B76AE">
          <w:headerReference w:type="first" r:id="rId14"/>
          <w:pgSz w:w="11906" w:h="16838" w:code="9"/>
          <w:pgMar w:top="2268" w:right="1134" w:bottom="964" w:left="1134" w:header="851" w:footer="680" w:gutter="0"/>
          <w:cols w:space="708"/>
          <w:titlePg/>
          <w:docGrid w:linePitch="360"/>
        </w:sectPr>
      </w:pPr>
    </w:p>
    <w:p w14:paraId="6A2B349D" w14:textId="77777777" w:rsidR="003A5000" w:rsidRPr="00C14A63" w:rsidRDefault="00BE214E" w:rsidP="00BE214E">
      <w:pPr>
        <w:pStyle w:val="ReportChapter"/>
      </w:pPr>
      <w:bookmarkStart w:id="2" w:name="_Toc57913866"/>
      <w:bookmarkStart w:id="3" w:name="_Toc88135129"/>
      <w:bookmarkStart w:id="4" w:name="_Toc117238120"/>
      <w:bookmarkStart w:id="5" w:name="_Toc84174025"/>
      <w:bookmarkEnd w:id="1"/>
      <w:r w:rsidRPr="00C14A63">
        <w:lastRenderedPageBreak/>
        <w:t>Índice</w:t>
      </w:r>
      <w:bookmarkEnd w:id="2"/>
      <w:bookmarkEnd w:id="3"/>
      <w:bookmarkEnd w:id="4"/>
    </w:p>
    <w:p w14:paraId="168E549D" w14:textId="77777777" w:rsidR="00D63996" w:rsidRPr="00C14A63" w:rsidRDefault="00D63996" w:rsidP="00D63996">
      <w:pPr>
        <w:pStyle w:val="TOCpage"/>
      </w:pPr>
      <w:r w:rsidRPr="00C14A63">
        <w:t>P</w:t>
      </w:r>
      <w:r w:rsidR="00434512" w:rsidRPr="00C14A63">
        <w:t>á</w:t>
      </w:r>
      <w:r w:rsidRPr="00C14A63">
        <w:t>g</w:t>
      </w:r>
      <w:r w:rsidR="00434512" w:rsidRPr="00C14A63">
        <w:t>ina</w:t>
      </w:r>
    </w:p>
    <w:p w14:paraId="64035A6F" w14:textId="6FEB1AB8" w:rsidR="00B3379A" w:rsidRDefault="00B3379A">
      <w:pPr>
        <w:pStyle w:val="TOC1"/>
        <w:rPr>
          <w:rFonts w:asciiTheme="minorHAnsi" w:eastAsiaTheme="minorEastAsia" w:hAnsiTheme="minorHAnsi" w:cstheme="minorBidi"/>
          <w:noProof/>
          <w:sz w:val="22"/>
          <w:szCs w:val="22"/>
          <w:lang w:val="es-ES" w:eastAsia="es-ES"/>
        </w:rPr>
      </w:pPr>
      <w:r>
        <w:fldChar w:fldCharType="begin"/>
      </w:r>
      <w:r>
        <w:instrText xml:space="preserve"> TOC \h \z \t "Report Chapter;1;Report Heading 1;2" </w:instrText>
      </w:r>
      <w:r>
        <w:fldChar w:fldCharType="separate"/>
      </w:r>
      <w:hyperlink w:anchor="_Toc117238121" w:history="1">
        <w:r w:rsidRPr="000F066B">
          <w:rPr>
            <w:rStyle w:val="Hyperlink"/>
            <w:bCs/>
            <w:noProof/>
            <w:lang w:val="es-ES"/>
          </w:rPr>
          <w:t>Introducción</w:t>
        </w:r>
        <w:r>
          <w:rPr>
            <w:noProof/>
            <w:webHidden/>
          </w:rPr>
          <w:tab/>
        </w:r>
        <w:r>
          <w:rPr>
            <w:noProof/>
            <w:webHidden/>
          </w:rPr>
          <w:tab/>
        </w:r>
        <w:r>
          <w:rPr>
            <w:noProof/>
            <w:webHidden/>
          </w:rPr>
          <w:fldChar w:fldCharType="begin"/>
        </w:r>
        <w:r>
          <w:rPr>
            <w:noProof/>
            <w:webHidden/>
          </w:rPr>
          <w:instrText xml:space="preserve"> PAGEREF _Toc117238121 \h </w:instrText>
        </w:r>
        <w:r>
          <w:rPr>
            <w:noProof/>
            <w:webHidden/>
          </w:rPr>
        </w:r>
        <w:r>
          <w:rPr>
            <w:noProof/>
            <w:webHidden/>
          </w:rPr>
          <w:fldChar w:fldCharType="separate"/>
        </w:r>
        <w:r w:rsidR="006B56E1">
          <w:rPr>
            <w:noProof/>
            <w:webHidden/>
          </w:rPr>
          <w:t>5</w:t>
        </w:r>
        <w:r>
          <w:rPr>
            <w:noProof/>
            <w:webHidden/>
          </w:rPr>
          <w:fldChar w:fldCharType="end"/>
        </w:r>
      </w:hyperlink>
    </w:p>
    <w:p w14:paraId="6FB130DC" w14:textId="6F08A006" w:rsidR="00B3379A" w:rsidRDefault="00EA6BFE">
      <w:pPr>
        <w:pStyle w:val="TOC1"/>
        <w:rPr>
          <w:rFonts w:asciiTheme="minorHAnsi" w:eastAsiaTheme="minorEastAsia" w:hAnsiTheme="minorHAnsi" w:cstheme="minorBidi"/>
          <w:noProof/>
          <w:sz w:val="22"/>
          <w:szCs w:val="22"/>
          <w:lang w:val="es-ES" w:eastAsia="es-ES"/>
        </w:rPr>
      </w:pPr>
      <w:hyperlink w:anchor="_Toc117238122" w:history="1">
        <w:r w:rsidR="00B3379A" w:rsidRPr="000F066B">
          <w:rPr>
            <w:rStyle w:val="Hyperlink"/>
            <w:bCs/>
            <w:noProof/>
            <w:lang w:val="es-ES"/>
          </w:rPr>
          <w:t>Estatus de los convenios internacionales del trabajo propuestos para derogación</w:t>
        </w:r>
        <w:r w:rsidR="00B3379A">
          <w:rPr>
            <w:noProof/>
            <w:webHidden/>
          </w:rPr>
          <w:tab/>
        </w:r>
        <w:r w:rsidR="00B3379A">
          <w:rPr>
            <w:noProof/>
            <w:webHidden/>
          </w:rPr>
          <w:tab/>
        </w:r>
        <w:r w:rsidR="00B3379A">
          <w:rPr>
            <w:noProof/>
            <w:webHidden/>
          </w:rPr>
          <w:fldChar w:fldCharType="begin"/>
        </w:r>
        <w:r w:rsidR="00B3379A">
          <w:rPr>
            <w:noProof/>
            <w:webHidden/>
          </w:rPr>
          <w:instrText xml:space="preserve"> PAGEREF _Toc117238122 \h </w:instrText>
        </w:r>
        <w:r w:rsidR="00B3379A">
          <w:rPr>
            <w:noProof/>
            <w:webHidden/>
          </w:rPr>
        </w:r>
        <w:r w:rsidR="00B3379A">
          <w:rPr>
            <w:noProof/>
            <w:webHidden/>
          </w:rPr>
          <w:fldChar w:fldCharType="separate"/>
        </w:r>
        <w:r w:rsidR="006B56E1">
          <w:rPr>
            <w:noProof/>
            <w:webHidden/>
          </w:rPr>
          <w:t>7</w:t>
        </w:r>
        <w:r w:rsidR="00B3379A">
          <w:rPr>
            <w:noProof/>
            <w:webHidden/>
          </w:rPr>
          <w:fldChar w:fldCharType="end"/>
        </w:r>
      </w:hyperlink>
    </w:p>
    <w:p w14:paraId="7BAC4E45" w14:textId="69490555" w:rsidR="00B3379A" w:rsidRDefault="00EA6BFE">
      <w:pPr>
        <w:pStyle w:val="TOC2"/>
        <w:rPr>
          <w:rFonts w:asciiTheme="minorHAnsi" w:eastAsiaTheme="minorEastAsia" w:hAnsiTheme="minorHAnsi" w:cstheme="minorBidi"/>
          <w:noProof/>
          <w:sz w:val="22"/>
          <w:szCs w:val="22"/>
          <w:lang w:val="es-ES" w:eastAsia="es-ES"/>
        </w:rPr>
      </w:pPr>
      <w:hyperlink w:anchor="_Toc117238123" w:history="1">
        <w:r w:rsidR="00B3379A" w:rsidRPr="000F066B">
          <w:rPr>
            <w:rStyle w:val="Hyperlink"/>
            <w:noProof/>
            <w:lang w:val="es-ES"/>
          </w:rPr>
          <w:t>Convenio sobre el trabajo subterráneo (mujeres), 1935 (núm. 45)</w:t>
        </w:r>
        <w:r w:rsidR="00B3379A">
          <w:rPr>
            <w:noProof/>
            <w:webHidden/>
          </w:rPr>
          <w:tab/>
        </w:r>
        <w:r w:rsidR="00B3379A">
          <w:rPr>
            <w:noProof/>
            <w:webHidden/>
          </w:rPr>
          <w:tab/>
        </w:r>
        <w:r w:rsidR="00B3379A">
          <w:rPr>
            <w:noProof/>
            <w:webHidden/>
          </w:rPr>
          <w:fldChar w:fldCharType="begin"/>
        </w:r>
        <w:r w:rsidR="00B3379A">
          <w:rPr>
            <w:noProof/>
            <w:webHidden/>
          </w:rPr>
          <w:instrText xml:space="preserve"> PAGEREF _Toc117238123 \h </w:instrText>
        </w:r>
        <w:r w:rsidR="00B3379A">
          <w:rPr>
            <w:noProof/>
            <w:webHidden/>
          </w:rPr>
        </w:r>
        <w:r w:rsidR="00B3379A">
          <w:rPr>
            <w:noProof/>
            <w:webHidden/>
          </w:rPr>
          <w:fldChar w:fldCharType="separate"/>
        </w:r>
        <w:r w:rsidR="006B56E1">
          <w:rPr>
            <w:noProof/>
            <w:webHidden/>
          </w:rPr>
          <w:t>7</w:t>
        </w:r>
        <w:r w:rsidR="00B3379A">
          <w:rPr>
            <w:noProof/>
            <w:webHidden/>
          </w:rPr>
          <w:fldChar w:fldCharType="end"/>
        </w:r>
      </w:hyperlink>
    </w:p>
    <w:p w14:paraId="1C43B211" w14:textId="103912F0" w:rsidR="00B3379A" w:rsidRDefault="00EA6BFE">
      <w:pPr>
        <w:pStyle w:val="TOC2"/>
        <w:rPr>
          <w:rFonts w:asciiTheme="minorHAnsi" w:eastAsiaTheme="minorEastAsia" w:hAnsiTheme="minorHAnsi" w:cstheme="minorBidi"/>
          <w:noProof/>
          <w:sz w:val="22"/>
          <w:szCs w:val="22"/>
          <w:lang w:val="es-ES" w:eastAsia="es-ES"/>
        </w:rPr>
      </w:pPr>
      <w:hyperlink w:anchor="_Toc117238124" w:history="1">
        <w:r w:rsidR="00B3379A" w:rsidRPr="000F066B">
          <w:rPr>
            <w:rStyle w:val="Hyperlink"/>
            <w:noProof/>
            <w:lang w:val="es-ES"/>
          </w:rPr>
          <w:t>Convenio sobre las prescripciones de seguridad (edificación), 1937 (núm. 62)</w:t>
        </w:r>
        <w:r w:rsidR="00B3379A">
          <w:rPr>
            <w:noProof/>
            <w:webHidden/>
          </w:rPr>
          <w:tab/>
        </w:r>
        <w:r w:rsidR="00B3379A">
          <w:rPr>
            <w:noProof/>
            <w:webHidden/>
          </w:rPr>
          <w:tab/>
        </w:r>
        <w:r w:rsidR="00B3379A">
          <w:rPr>
            <w:noProof/>
            <w:webHidden/>
          </w:rPr>
          <w:fldChar w:fldCharType="begin"/>
        </w:r>
        <w:r w:rsidR="00B3379A">
          <w:rPr>
            <w:noProof/>
            <w:webHidden/>
          </w:rPr>
          <w:instrText xml:space="preserve"> PAGEREF _Toc117238124 \h </w:instrText>
        </w:r>
        <w:r w:rsidR="00B3379A">
          <w:rPr>
            <w:noProof/>
            <w:webHidden/>
          </w:rPr>
        </w:r>
        <w:r w:rsidR="00B3379A">
          <w:rPr>
            <w:noProof/>
            <w:webHidden/>
          </w:rPr>
          <w:fldChar w:fldCharType="separate"/>
        </w:r>
        <w:r w:rsidR="006B56E1">
          <w:rPr>
            <w:noProof/>
            <w:webHidden/>
          </w:rPr>
          <w:t>7</w:t>
        </w:r>
        <w:r w:rsidR="00B3379A">
          <w:rPr>
            <w:noProof/>
            <w:webHidden/>
          </w:rPr>
          <w:fldChar w:fldCharType="end"/>
        </w:r>
      </w:hyperlink>
    </w:p>
    <w:p w14:paraId="6C12F989" w14:textId="03963F02" w:rsidR="00B3379A" w:rsidRDefault="00EA6BFE">
      <w:pPr>
        <w:pStyle w:val="TOC2"/>
        <w:rPr>
          <w:rFonts w:asciiTheme="minorHAnsi" w:eastAsiaTheme="minorEastAsia" w:hAnsiTheme="minorHAnsi" w:cstheme="minorBidi"/>
          <w:noProof/>
          <w:sz w:val="22"/>
          <w:szCs w:val="22"/>
          <w:lang w:val="es-ES" w:eastAsia="es-ES"/>
        </w:rPr>
      </w:pPr>
      <w:hyperlink w:anchor="_Toc117238125" w:history="1">
        <w:r w:rsidR="00B3379A" w:rsidRPr="000F066B">
          <w:rPr>
            <w:rStyle w:val="Hyperlink"/>
            <w:noProof/>
            <w:lang w:val="es-ES"/>
          </w:rPr>
          <w:t>Convenio sobre estadísticas de salarios y horas de trabajo, 1938 (núm. 63)</w:t>
        </w:r>
        <w:r w:rsidR="00B3379A">
          <w:rPr>
            <w:noProof/>
            <w:webHidden/>
          </w:rPr>
          <w:tab/>
        </w:r>
        <w:r w:rsidR="00B3379A">
          <w:rPr>
            <w:noProof/>
            <w:webHidden/>
          </w:rPr>
          <w:tab/>
        </w:r>
        <w:r w:rsidR="00B3379A">
          <w:rPr>
            <w:noProof/>
            <w:webHidden/>
          </w:rPr>
          <w:fldChar w:fldCharType="begin"/>
        </w:r>
        <w:r w:rsidR="00B3379A">
          <w:rPr>
            <w:noProof/>
            <w:webHidden/>
          </w:rPr>
          <w:instrText xml:space="preserve"> PAGEREF _Toc117238125 \h </w:instrText>
        </w:r>
        <w:r w:rsidR="00B3379A">
          <w:rPr>
            <w:noProof/>
            <w:webHidden/>
          </w:rPr>
        </w:r>
        <w:r w:rsidR="00B3379A">
          <w:rPr>
            <w:noProof/>
            <w:webHidden/>
          </w:rPr>
          <w:fldChar w:fldCharType="separate"/>
        </w:r>
        <w:r w:rsidR="006B56E1">
          <w:rPr>
            <w:noProof/>
            <w:webHidden/>
          </w:rPr>
          <w:t>8</w:t>
        </w:r>
        <w:r w:rsidR="00B3379A">
          <w:rPr>
            <w:noProof/>
            <w:webHidden/>
          </w:rPr>
          <w:fldChar w:fldCharType="end"/>
        </w:r>
      </w:hyperlink>
    </w:p>
    <w:p w14:paraId="2EFBE1ED" w14:textId="1D47BC8B" w:rsidR="00B3379A" w:rsidRDefault="00EA6BFE">
      <w:pPr>
        <w:pStyle w:val="TOC2"/>
        <w:rPr>
          <w:rFonts w:asciiTheme="minorHAnsi" w:eastAsiaTheme="minorEastAsia" w:hAnsiTheme="minorHAnsi" w:cstheme="minorBidi"/>
          <w:noProof/>
          <w:sz w:val="22"/>
          <w:szCs w:val="22"/>
          <w:lang w:val="es-ES" w:eastAsia="es-ES"/>
        </w:rPr>
      </w:pPr>
      <w:hyperlink w:anchor="_Toc117238126" w:history="1">
        <w:r w:rsidR="00B3379A" w:rsidRPr="000F066B">
          <w:rPr>
            <w:rStyle w:val="Hyperlink"/>
            <w:noProof/>
            <w:lang w:val="es-ES"/>
          </w:rPr>
          <w:t>C</w:t>
        </w:r>
        <w:r w:rsidR="00B3379A" w:rsidRPr="00B3379A">
          <w:rPr>
            <w:rStyle w:val="Hyperlink"/>
            <w:noProof/>
            <w:spacing w:val="-4"/>
            <w:lang w:val="es-ES"/>
          </w:rPr>
          <w:t>onvenio sobre la inspección del trabajo (territorios no metropolitanos), 1947 (núm.</w:t>
        </w:r>
        <w:r w:rsidR="00B3379A" w:rsidRPr="000F066B">
          <w:rPr>
            <w:rStyle w:val="Hyperlink"/>
            <w:noProof/>
            <w:lang w:val="es-ES"/>
          </w:rPr>
          <w:t> 85)</w:t>
        </w:r>
        <w:r w:rsidR="00B3379A">
          <w:rPr>
            <w:noProof/>
            <w:webHidden/>
          </w:rPr>
          <w:tab/>
        </w:r>
        <w:r w:rsidR="00B3379A">
          <w:rPr>
            <w:noProof/>
            <w:webHidden/>
          </w:rPr>
          <w:tab/>
        </w:r>
        <w:r w:rsidR="00B3379A">
          <w:rPr>
            <w:noProof/>
            <w:webHidden/>
          </w:rPr>
          <w:fldChar w:fldCharType="begin"/>
        </w:r>
        <w:r w:rsidR="00B3379A">
          <w:rPr>
            <w:noProof/>
            <w:webHidden/>
          </w:rPr>
          <w:instrText xml:space="preserve"> PAGEREF _Toc117238126 \h </w:instrText>
        </w:r>
        <w:r w:rsidR="00B3379A">
          <w:rPr>
            <w:noProof/>
            <w:webHidden/>
          </w:rPr>
        </w:r>
        <w:r w:rsidR="00B3379A">
          <w:rPr>
            <w:noProof/>
            <w:webHidden/>
          </w:rPr>
          <w:fldChar w:fldCharType="separate"/>
        </w:r>
        <w:r w:rsidR="006B56E1">
          <w:rPr>
            <w:noProof/>
            <w:webHidden/>
          </w:rPr>
          <w:t>8</w:t>
        </w:r>
        <w:r w:rsidR="00B3379A">
          <w:rPr>
            <w:noProof/>
            <w:webHidden/>
          </w:rPr>
          <w:fldChar w:fldCharType="end"/>
        </w:r>
      </w:hyperlink>
    </w:p>
    <w:p w14:paraId="1016FCF8" w14:textId="2C850FB6" w:rsidR="00B3379A" w:rsidRDefault="00EA6BFE">
      <w:pPr>
        <w:pStyle w:val="TOC1"/>
        <w:rPr>
          <w:rFonts w:asciiTheme="minorHAnsi" w:eastAsiaTheme="minorEastAsia" w:hAnsiTheme="minorHAnsi" w:cstheme="minorBidi"/>
          <w:noProof/>
          <w:sz w:val="22"/>
          <w:szCs w:val="22"/>
          <w:lang w:val="es-ES" w:eastAsia="es-ES"/>
        </w:rPr>
      </w:pPr>
      <w:hyperlink w:anchor="_Toc117238127" w:history="1">
        <w:r w:rsidR="00B3379A" w:rsidRPr="000F066B">
          <w:rPr>
            <w:rStyle w:val="Hyperlink"/>
            <w:bCs/>
            <w:noProof/>
            <w:lang w:val="es-ES"/>
          </w:rPr>
          <w:t>Cuestionario</w:t>
        </w:r>
        <w:r w:rsidR="00B3379A">
          <w:rPr>
            <w:noProof/>
            <w:webHidden/>
          </w:rPr>
          <w:tab/>
        </w:r>
        <w:r w:rsidR="00B3379A">
          <w:rPr>
            <w:noProof/>
            <w:webHidden/>
          </w:rPr>
          <w:tab/>
        </w:r>
        <w:r w:rsidR="00B3379A">
          <w:rPr>
            <w:noProof/>
            <w:webHidden/>
          </w:rPr>
          <w:fldChar w:fldCharType="begin"/>
        </w:r>
        <w:r w:rsidR="00B3379A">
          <w:rPr>
            <w:noProof/>
            <w:webHidden/>
          </w:rPr>
          <w:instrText xml:space="preserve"> PAGEREF _Toc117238127 \h </w:instrText>
        </w:r>
        <w:r w:rsidR="00B3379A">
          <w:rPr>
            <w:noProof/>
            <w:webHidden/>
          </w:rPr>
        </w:r>
        <w:r w:rsidR="00B3379A">
          <w:rPr>
            <w:noProof/>
            <w:webHidden/>
          </w:rPr>
          <w:fldChar w:fldCharType="separate"/>
        </w:r>
        <w:r w:rsidR="006B56E1">
          <w:rPr>
            <w:noProof/>
            <w:webHidden/>
          </w:rPr>
          <w:t>10</w:t>
        </w:r>
        <w:r w:rsidR="00B3379A">
          <w:rPr>
            <w:noProof/>
            <w:webHidden/>
          </w:rPr>
          <w:fldChar w:fldCharType="end"/>
        </w:r>
      </w:hyperlink>
    </w:p>
    <w:p w14:paraId="4461D7B4" w14:textId="37DB71AE" w:rsidR="002D2C77" w:rsidRPr="00C14A63" w:rsidRDefault="00B3379A" w:rsidP="00D63996">
      <w:pPr>
        <w:pStyle w:val="ReportPara"/>
      </w:pPr>
      <w:r>
        <w:rPr>
          <w:lang w:eastAsia="zh-CN"/>
        </w:rPr>
        <w:fldChar w:fldCharType="end"/>
      </w:r>
    </w:p>
    <w:p w14:paraId="789CF040" w14:textId="77777777" w:rsidR="0056345F" w:rsidRPr="00C14A63" w:rsidRDefault="0056345F" w:rsidP="00D63996">
      <w:pPr>
        <w:pStyle w:val="ReportPara"/>
        <w:sectPr w:rsidR="0056345F" w:rsidRPr="00C14A63" w:rsidSect="003A5000">
          <w:headerReference w:type="first" r:id="rId15"/>
          <w:type w:val="oddPage"/>
          <w:pgSz w:w="11906" w:h="16838" w:code="9"/>
          <w:pgMar w:top="2268" w:right="1134" w:bottom="964" w:left="1134" w:header="851" w:footer="680" w:gutter="0"/>
          <w:cols w:space="708"/>
          <w:titlePg/>
          <w:docGrid w:linePitch="360"/>
        </w:sectPr>
      </w:pPr>
    </w:p>
    <w:p w14:paraId="37B9BB9D" w14:textId="16A0A837" w:rsidR="00D63996" w:rsidRPr="00764B03" w:rsidRDefault="00187D2B" w:rsidP="00A23652">
      <w:pPr>
        <w:pStyle w:val="ReportChapter"/>
        <w:rPr>
          <w:lang w:val="en-GB"/>
        </w:rPr>
      </w:pPr>
      <w:bookmarkStart w:id="6" w:name="_Toc117175722"/>
      <w:bookmarkStart w:id="7" w:name="_Toc117238121"/>
      <w:r w:rsidRPr="00187D2B">
        <w:rPr>
          <w:bCs/>
          <w:lang w:val="es-ES"/>
        </w:rPr>
        <w:lastRenderedPageBreak/>
        <w:t>Introducción</w:t>
      </w:r>
      <w:bookmarkEnd w:id="6"/>
      <w:bookmarkEnd w:id="7"/>
    </w:p>
    <w:bookmarkEnd w:id="5"/>
    <w:p w14:paraId="33E2FA88" w14:textId="543C8B3E" w:rsidR="00187D2B" w:rsidRPr="008C00F1" w:rsidRDefault="00187D2B" w:rsidP="00187D2B">
      <w:pPr>
        <w:pStyle w:val="ReportParaNum"/>
        <w:rPr>
          <w:lang w:val="es-ES"/>
        </w:rPr>
      </w:pPr>
      <w:r w:rsidRPr="008C00F1">
        <w:rPr>
          <w:lang w:val="es-ES"/>
        </w:rPr>
        <w:t>En su 343.ª reunión (noviembre de 2021), el Consejo de Administración de la Oficina Internacional del Trabajo decidió inscribir en el orden del día de la 112.ª reunión de la Conferencia Internacional del Trabajo (2024) un punto sobre la derogación de cuatro convenios</w:t>
      </w:r>
      <w:r>
        <w:rPr>
          <w:lang w:val="es-ES"/>
        </w:rPr>
        <w:t>, a saber</w:t>
      </w:r>
      <w:r w:rsidRPr="008C00F1">
        <w:rPr>
          <w:lang w:val="es-ES"/>
        </w:rPr>
        <w:t xml:space="preserve">: el </w:t>
      </w:r>
      <w:r w:rsidR="00565EEE" w:rsidRPr="00565EEE">
        <w:rPr>
          <w:lang w:val="es-ES"/>
        </w:rPr>
        <w:t>Convenio sobre el trabajo subterráneo (mujeres), 1935 (núm. 45)</w:t>
      </w:r>
      <w:r w:rsidRPr="008C00F1">
        <w:rPr>
          <w:lang w:val="es-ES"/>
        </w:rPr>
        <w:t xml:space="preserve">, el </w:t>
      </w:r>
      <w:r w:rsidR="00565EEE" w:rsidRPr="00565EEE">
        <w:rPr>
          <w:lang w:val="es-ES"/>
        </w:rPr>
        <w:t>Convenio sobre las prescripciones de seguridad (edificación), 1937 (núm. 62)</w:t>
      </w:r>
      <w:r w:rsidRPr="008C00F1">
        <w:rPr>
          <w:lang w:val="es-ES"/>
        </w:rPr>
        <w:t xml:space="preserve">, el </w:t>
      </w:r>
      <w:r w:rsidR="00565EEE" w:rsidRPr="00565EEE">
        <w:rPr>
          <w:lang w:val="es-ES"/>
        </w:rPr>
        <w:t>Convenio sobre estadísticas de salarios y horas de trabajo, 1938 (núm. 63)</w:t>
      </w:r>
      <w:r w:rsidRPr="008C00F1">
        <w:rPr>
          <w:lang w:val="es-ES"/>
        </w:rPr>
        <w:t xml:space="preserve">, y el </w:t>
      </w:r>
      <w:r w:rsidR="00565EEE" w:rsidRPr="00565EEE">
        <w:rPr>
          <w:lang w:val="es-ES"/>
        </w:rPr>
        <w:t>Convenio sobre la inspección del trabajo (territorios no metropolitanos), 1947 (núm. 85)</w:t>
      </w:r>
      <w:r w:rsidRPr="008C00F1">
        <w:rPr>
          <w:lang w:val="es-ES"/>
        </w:rPr>
        <w:t> </w:t>
      </w:r>
      <w:r w:rsidRPr="008C00F1">
        <w:rPr>
          <w:rStyle w:val="FootnoteReference"/>
          <w:lang w:val="es-ES"/>
        </w:rPr>
        <w:footnoteReference w:id="1"/>
      </w:r>
      <w:r w:rsidRPr="008C00F1">
        <w:rPr>
          <w:lang w:val="es-ES"/>
        </w:rPr>
        <w:t>.</w:t>
      </w:r>
    </w:p>
    <w:p w14:paraId="25B1FF63" w14:textId="77777777" w:rsidR="00187D2B" w:rsidRPr="008C00F1" w:rsidRDefault="00187D2B" w:rsidP="00187D2B">
      <w:pPr>
        <w:pStyle w:val="ReportParaNum"/>
        <w:rPr>
          <w:lang w:val="es-ES"/>
        </w:rPr>
      </w:pPr>
      <w:r w:rsidRPr="008C00F1">
        <w:rPr>
          <w:lang w:val="es-ES"/>
        </w:rPr>
        <w:t xml:space="preserve">El Consejo de Administración </w:t>
      </w:r>
      <w:r>
        <w:rPr>
          <w:lang w:val="es-ES"/>
        </w:rPr>
        <w:t>adoptó</w:t>
      </w:r>
      <w:r w:rsidRPr="008C00F1">
        <w:rPr>
          <w:lang w:val="es-ES"/>
        </w:rPr>
        <w:t xml:space="preserve"> </w:t>
      </w:r>
      <w:r>
        <w:rPr>
          <w:lang w:val="es-ES"/>
        </w:rPr>
        <w:t>esta</w:t>
      </w:r>
      <w:r w:rsidRPr="008C00F1">
        <w:rPr>
          <w:lang w:val="es-ES"/>
        </w:rPr>
        <w:t xml:space="preserve"> decisión </w:t>
      </w:r>
      <w:r>
        <w:rPr>
          <w:lang w:val="es-ES"/>
        </w:rPr>
        <w:t xml:space="preserve">con base </w:t>
      </w:r>
      <w:r w:rsidRPr="008C00F1">
        <w:rPr>
          <w:lang w:val="es-ES"/>
        </w:rPr>
        <w:t>en la recomendación que el Grupo de Trabajo tripartito del mecanismo de examen de las normas (GTT del MEN) </w:t>
      </w:r>
      <w:r w:rsidRPr="008C00F1">
        <w:rPr>
          <w:rStyle w:val="FootnoteReference"/>
          <w:lang w:val="es-ES"/>
        </w:rPr>
        <w:footnoteReference w:id="2"/>
      </w:r>
      <w:r w:rsidRPr="008C00F1">
        <w:rPr>
          <w:lang w:val="es-ES"/>
        </w:rPr>
        <w:t xml:space="preserve"> formuló en su cuarta reunión, celebrada del 17 al 21 de septiembre de 2018 </w:t>
      </w:r>
      <w:r w:rsidRPr="008C00F1">
        <w:rPr>
          <w:rStyle w:val="FootnoteReference"/>
          <w:lang w:val="es-ES"/>
        </w:rPr>
        <w:footnoteReference w:id="3"/>
      </w:r>
      <w:r w:rsidRPr="008C00F1">
        <w:rPr>
          <w:lang w:val="es-ES"/>
        </w:rPr>
        <w:t>.</w:t>
      </w:r>
    </w:p>
    <w:p w14:paraId="389F337C" w14:textId="77777777" w:rsidR="00187D2B" w:rsidRPr="008C00F1" w:rsidRDefault="00187D2B" w:rsidP="00187D2B">
      <w:pPr>
        <w:pStyle w:val="ReportParaNum"/>
        <w:rPr>
          <w:lang w:val="es-ES"/>
        </w:rPr>
      </w:pPr>
      <w:r w:rsidRPr="008C00F1">
        <w:rPr>
          <w:lang w:val="es-ES"/>
        </w:rPr>
        <w:t xml:space="preserve">De conformidad con el párrafo 9 del artículo 19 de la Constitución de la </w:t>
      </w:r>
      <w:r>
        <w:rPr>
          <w:lang w:val="es-ES"/>
        </w:rPr>
        <w:t>Organización Internacional del Trabajo</w:t>
      </w:r>
      <w:r w:rsidRPr="008C00F1">
        <w:rPr>
          <w:lang w:val="es-ES"/>
        </w:rPr>
        <w:t>, la Conferencia está facultada para derogar, por mayoría de dos tercios de los votos emitidos por los delegados presentes y por iniciativa del Consejo de Administración, todo convenio en vigor si se considera que ha perdido su objeto o que ya no representa una contribución útil a la consecución de los objetivos de la Organización. El examen de la derogación de los convenios que se propone es un componente importante del proceso del mecanismo de examen de las normas, cuya finalidad es garantizar que la Organización tenga un corpus de normas internacionales del trabajo sólido y actualizado. Esta será la quinta vez que se solicit</w:t>
      </w:r>
      <w:r>
        <w:rPr>
          <w:lang w:val="es-ES"/>
        </w:rPr>
        <w:t>e</w:t>
      </w:r>
      <w:r w:rsidRPr="008C00F1">
        <w:rPr>
          <w:lang w:val="es-ES"/>
        </w:rPr>
        <w:t xml:space="preserve"> a la Conferencia Internacional del Trabajo que decida sobre la posible derogación de convenios internacionales del trabajo. El Reglamento de la Conferencia regula, en su artículo 52, el procedimiento en caso de derogación o de retiro de convenios y recomendaciones. </w:t>
      </w:r>
    </w:p>
    <w:p w14:paraId="4E86F091" w14:textId="77777777" w:rsidR="00187D2B" w:rsidRPr="008C00F1" w:rsidRDefault="00187D2B" w:rsidP="00187D2B">
      <w:pPr>
        <w:pStyle w:val="ReportParaNum"/>
        <w:rPr>
          <w:lang w:val="es-ES"/>
        </w:rPr>
      </w:pPr>
      <w:r w:rsidRPr="008C00F1">
        <w:rPr>
          <w:lang w:val="es-ES"/>
        </w:rPr>
        <w:t>Si la Conferencia decid</w:t>
      </w:r>
      <w:r>
        <w:rPr>
          <w:lang w:val="es-ES"/>
        </w:rPr>
        <w:t>iera</w:t>
      </w:r>
      <w:r w:rsidRPr="008C00F1">
        <w:rPr>
          <w:lang w:val="es-ES"/>
        </w:rPr>
        <w:t xml:space="preserve"> derogar los instrumentos antes indicados, estos se suprimir</w:t>
      </w:r>
      <w:r>
        <w:rPr>
          <w:lang w:val="es-ES"/>
        </w:rPr>
        <w:t>ía</w:t>
      </w:r>
      <w:r w:rsidRPr="008C00F1">
        <w:rPr>
          <w:lang w:val="es-ES"/>
        </w:rPr>
        <w:t xml:space="preserve">n del corpus normativo de la OIT y, por consiguiente, los Miembros que </w:t>
      </w:r>
      <w:r>
        <w:rPr>
          <w:lang w:val="es-ES"/>
        </w:rPr>
        <w:t xml:space="preserve">los </w:t>
      </w:r>
      <w:r w:rsidRPr="008C00F1">
        <w:rPr>
          <w:lang w:val="es-ES"/>
        </w:rPr>
        <w:t>han ratificado y sig</w:t>
      </w:r>
      <w:r>
        <w:rPr>
          <w:lang w:val="es-ES"/>
        </w:rPr>
        <w:t>ue</w:t>
      </w:r>
      <w:r w:rsidRPr="008C00F1">
        <w:rPr>
          <w:lang w:val="es-ES"/>
        </w:rPr>
        <w:t xml:space="preserve">n </w:t>
      </w:r>
      <w:r>
        <w:rPr>
          <w:lang w:val="es-ES"/>
        </w:rPr>
        <w:t>obligados</w:t>
      </w:r>
      <w:r w:rsidRPr="008C00F1">
        <w:rPr>
          <w:lang w:val="es-ES"/>
        </w:rPr>
        <w:t xml:space="preserve"> por </w:t>
      </w:r>
      <w:r>
        <w:rPr>
          <w:lang w:val="es-ES"/>
        </w:rPr>
        <w:t>ellos</w:t>
      </w:r>
      <w:r w:rsidRPr="008C00F1">
        <w:rPr>
          <w:lang w:val="es-ES"/>
        </w:rPr>
        <w:t xml:space="preserve"> ya no tendr</w:t>
      </w:r>
      <w:r>
        <w:rPr>
          <w:lang w:val="es-ES"/>
        </w:rPr>
        <w:t>ía</w:t>
      </w:r>
      <w:r w:rsidRPr="008C00F1">
        <w:rPr>
          <w:lang w:val="es-ES"/>
        </w:rPr>
        <w:t xml:space="preserve">n la obligación de presentar memorias en virtud del artículo 22 de la Constitución y ya no </w:t>
      </w:r>
      <w:r>
        <w:rPr>
          <w:lang w:val="es-ES"/>
        </w:rPr>
        <w:t>podrían</w:t>
      </w:r>
      <w:r w:rsidRPr="008C00F1">
        <w:rPr>
          <w:lang w:val="es-ES"/>
        </w:rPr>
        <w:t xml:space="preserve"> ser objeto de reclamaciones (artículo 24) o de quejas (artículo 26) por presunto incumplimiento. Por su parte, los órganos de control de la OIT ya no </w:t>
      </w:r>
      <w:r>
        <w:rPr>
          <w:lang w:val="es-ES"/>
        </w:rPr>
        <w:lastRenderedPageBreak/>
        <w:t>deberían</w:t>
      </w:r>
      <w:r w:rsidRPr="008C00F1">
        <w:rPr>
          <w:lang w:val="es-ES"/>
        </w:rPr>
        <w:t xml:space="preserve"> examinar la aplicación de esos instrumentos y la Oficina adoptaría las medidas necesarias para que los instrumentos derogados dej</w:t>
      </w:r>
      <w:r>
        <w:rPr>
          <w:lang w:val="es-ES"/>
        </w:rPr>
        <w:t>ara</w:t>
      </w:r>
      <w:r w:rsidRPr="008C00F1">
        <w:rPr>
          <w:lang w:val="es-ES"/>
        </w:rPr>
        <w:t>n de figurar en las recopilaciones de normas internacionales del trabajo y de mencionarse en nuevos instrumentos, códigos de conducta o documentos similares </w:t>
      </w:r>
      <w:r w:rsidRPr="008C00F1">
        <w:rPr>
          <w:rStyle w:val="FootnoteReference"/>
          <w:lang w:val="es-ES"/>
        </w:rPr>
        <w:footnoteReference w:id="4"/>
      </w:r>
      <w:r w:rsidRPr="008C00F1">
        <w:rPr>
          <w:lang w:val="es-ES"/>
        </w:rPr>
        <w:t>.</w:t>
      </w:r>
    </w:p>
    <w:p w14:paraId="29C7C052" w14:textId="77777777" w:rsidR="00187D2B" w:rsidRPr="008C00F1" w:rsidRDefault="00187D2B" w:rsidP="00187D2B">
      <w:pPr>
        <w:pStyle w:val="ReportParaNum"/>
        <w:rPr>
          <w:lang w:val="es-ES"/>
        </w:rPr>
      </w:pPr>
      <w:r w:rsidRPr="008C00F1">
        <w:rPr>
          <w:lang w:val="es-ES"/>
        </w:rPr>
        <w:t xml:space="preserve">De conformidad </w:t>
      </w:r>
      <w:r>
        <w:rPr>
          <w:lang w:val="es-ES"/>
        </w:rPr>
        <w:t>con el párrafo 1 del artículo </w:t>
      </w:r>
      <w:r w:rsidRPr="008C00F1">
        <w:rPr>
          <w:lang w:val="es-ES"/>
        </w:rPr>
        <w:t xml:space="preserve">52 del Reglamento de la Conferencia, cuando en el orden del día de la Conferencia figure un punto relativo a una derogación, la Oficina transmitirá a los Gobiernos, con tiempo suficiente para que llegue a su poder </w:t>
      </w:r>
      <w:r>
        <w:rPr>
          <w:lang w:val="es-ES"/>
        </w:rPr>
        <w:t xml:space="preserve">dieciocho </w:t>
      </w:r>
      <w:r w:rsidRPr="008C00F1">
        <w:rPr>
          <w:lang w:val="es-ES"/>
        </w:rPr>
        <w:t xml:space="preserve">meses, por lo menos, antes de la apertura de la reunión de la Conferencia en que haya de discutirse, un breve informe y un cuestionario en el que se les solicitará que indiquen, en un plazo de </w:t>
      </w:r>
      <w:r>
        <w:rPr>
          <w:lang w:val="es-ES"/>
        </w:rPr>
        <w:t xml:space="preserve">doce </w:t>
      </w:r>
      <w:r w:rsidRPr="008C00F1">
        <w:rPr>
          <w:lang w:val="es-ES"/>
        </w:rPr>
        <w:t>meses, su postura razonada acerca de la propuesta de derogación, y faciliten la información pertinente. A ese respecto, se solicita a los Gobiernos que consulten a las organizaciones de empleadores y de trabajadores más representativas antes de formular sus respuestas. En función de las respuestas recibidas, la Oficina preparará un informe que contendrá una propuesta definitiva y que se pondrá a disposición de los Gobiernos cuatro meses antes de la reunión de la Conferencia en que haya de examinarse el punto considerado.</w:t>
      </w:r>
    </w:p>
    <w:tbl>
      <w:tblPr>
        <w:tblW w:w="9072" w:type="dxa"/>
        <w:tblInd w:w="567" w:type="dxa"/>
        <w:shd w:val="clear" w:color="auto" w:fill="EBF5FD"/>
        <w:tblCellMar>
          <w:top w:w="85" w:type="dxa"/>
          <w:left w:w="142" w:type="dxa"/>
          <w:bottom w:w="85" w:type="dxa"/>
          <w:right w:w="142" w:type="dxa"/>
        </w:tblCellMar>
        <w:tblLook w:val="04A0" w:firstRow="1" w:lastRow="0" w:firstColumn="1" w:lastColumn="0" w:noHBand="0" w:noVBand="1"/>
      </w:tblPr>
      <w:tblGrid>
        <w:gridCol w:w="9072"/>
      </w:tblGrid>
      <w:tr w:rsidR="001B0C57" w:rsidRPr="00F57EFF" w14:paraId="393A449C" w14:textId="77777777" w:rsidTr="004E59E1">
        <w:tc>
          <w:tcPr>
            <w:tcW w:w="9072" w:type="dxa"/>
            <w:shd w:val="clear" w:color="auto" w:fill="EBF5FD"/>
          </w:tcPr>
          <w:p w14:paraId="780FF0DF" w14:textId="77777777" w:rsidR="00187D2B" w:rsidRPr="008C00F1" w:rsidRDefault="00187D2B" w:rsidP="00187D2B">
            <w:pPr>
              <w:pStyle w:val="BoxBody"/>
              <w:rPr>
                <w:lang w:val="es-ES"/>
              </w:rPr>
            </w:pPr>
            <w:r w:rsidRPr="008C00F1">
              <w:rPr>
                <w:lang w:val="es-ES"/>
              </w:rPr>
              <w:t>En vista de que el Consejo de Administración ha inscrito este punto en el orden del día de la 112.ª reunión de la Conferencia Internacional del Trabajo</w:t>
            </w:r>
            <w:r>
              <w:rPr>
                <w:lang w:val="es-ES"/>
              </w:rPr>
              <w:t xml:space="preserve"> </w:t>
            </w:r>
            <w:r w:rsidRPr="008C00F1">
              <w:rPr>
                <w:lang w:val="es-ES"/>
              </w:rPr>
              <w:t xml:space="preserve">(2024), se solicita a los Gobiernos que, una vez hayan consultado debidamente a las organizaciones más representativas de empleadores y de trabajadores, comuniquen sus respuestas al cuestionario que figura a continuación de forma que lleguen a la Oficina </w:t>
            </w:r>
            <w:r w:rsidRPr="008C00F1">
              <w:rPr>
                <w:b/>
                <w:bCs/>
                <w:lang w:val="es-ES"/>
              </w:rPr>
              <w:t>a más tardar el 30 de noviembre de 2023</w:t>
            </w:r>
            <w:r w:rsidRPr="008C00F1">
              <w:rPr>
                <w:lang w:val="es-ES"/>
              </w:rPr>
              <w:t>.</w:t>
            </w:r>
          </w:p>
          <w:p w14:paraId="2DF55E95" w14:textId="2EAEE013" w:rsidR="001B0C57" w:rsidRPr="00C14A63" w:rsidRDefault="00187D2B" w:rsidP="00187D2B">
            <w:pPr>
              <w:pStyle w:val="BoxBody"/>
            </w:pPr>
            <w:r w:rsidRPr="008C00F1">
              <w:rPr>
                <w:lang w:val="es-ES"/>
              </w:rPr>
              <w:t xml:space="preserve">El presente informe, incluido el cuestionario, puede consultarse en el </w:t>
            </w:r>
            <w:hyperlink r:id="rId16" w:history="1">
              <w:r w:rsidRPr="0063223B">
                <w:rPr>
                  <w:rStyle w:val="ReportHyperlink"/>
                  <w:lang w:val="es-ES"/>
                </w:rPr>
                <w:t>sitio web de la OIT</w:t>
              </w:r>
            </w:hyperlink>
            <w:r w:rsidRPr="008C00F1">
              <w:rPr>
                <w:lang w:val="es-ES"/>
              </w:rPr>
              <w:t>. Se invita a los Gobiernos a que, cuando sea posible, cumplimenten el cuestionario en formato electrónico y remitan sus respuestas, igualmente por vía electrónica, a la Oficina del Consejero Jurídico (</w:t>
            </w:r>
            <w:hyperlink r:id="rId17" w:history="1">
              <w:r w:rsidRPr="0063223B">
                <w:rPr>
                  <w:rStyle w:val="ReportHyperlink"/>
                  <w:lang w:val="es-ES"/>
                </w:rPr>
                <w:t>jur@ilo.org</w:t>
              </w:r>
            </w:hyperlink>
            <w:r w:rsidRPr="008C00F1">
              <w:rPr>
                <w:lang w:val="es-ES"/>
              </w:rPr>
              <w:t>).</w:t>
            </w:r>
          </w:p>
        </w:tc>
      </w:tr>
      <w:tr w:rsidR="001B0C57" w:rsidRPr="00F57EFF" w14:paraId="0443C703" w14:textId="77777777" w:rsidTr="004E59E1">
        <w:tc>
          <w:tcPr>
            <w:tcW w:w="9072" w:type="dxa"/>
            <w:shd w:val="clear" w:color="auto" w:fill="auto"/>
          </w:tcPr>
          <w:p w14:paraId="0B66DD48" w14:textId="77777777" w:rsidR="001B0C57" w:rsidRPr="00C14A63" w:rsidRDefault="001B0C57" w:rsidP="00153DDA">
            <w:pPr>
              <w:pStyle w:val="TableBoxrowempty"/>
              <w:rPr>
                <w:b/>
              </w:rPr>
            </w:pPr>
          </w:p>
        </w:tc>
      </w:tr>
    </w:tbl>
    <w:p w14:paraId="4107541E" w14:textId="77777777" w:rsidR="0078524E" w:rsidRDefault="0078524E" w:rsidP="004E59E1">
      <w:pPr>
        <w:pStyle w:val="ReportGraphicNoteSource"/>
        <w:sectPr w:rsidR="0078524E" w:rsidSect="00C5365E">
          <w:type w:val="oddPage"/>
          <w:pgSz w:w="11906" w:h="16838" w:code="9"/>
          <w:pgMar w:top="2268" w:right="1134" w:bottom="964" w:left="1134" w:header="851" w:footer="680" w:gutter="0"/>
          <w:cols w:space="284"/>
          <w:titlePg/>
          <w:docGrid w:linePitch="360"/>
          <w15:footnoteColumns w:val="1"/>
        </w:sectPr>
      </w:pPr>
      <w:bookmarkStart w:id="8" w:name="_Toc84174031"/>
      <w:bookmarkEnd w:id="0"/>
    </w:p>
    <w:p w14:paraId="56F8DBCD" w14:textId="13142CD7" w:rsidR="005C6502" w:rsidRPr="00C14A63" w:rsidRDefault="0078524E" w:rsidP="00E14768">
      <w:pPr>
        <w:pStyle w:val="ReportChapter"/>
      </w:pPr>
      <w:bookmarkStart w:id="9" w:name="_Toc117175723"/>
      <w:bookmarkStart w:id="10" w:name="_Toc117238122"/>
      <w:r w:rsidRPr="0078524E">
        <w:rPr>
          <w:bCs/>
          <w:lang w:val="es-ES"/>
        </w:rPr>
        <w:lastRenderedPageBreak/>
        <w:t>Estatus de los convenios internacionales del trabajo propuestos para derogación</w:t>
      </w:r>
      <w:bookmarkEnd w:id="9"/>
      <w:bookmarkEnd w:id="10"/>
    </w:p>
    <w:p w14:paraId="27930BB2" w14:textId="77777777" w:rsidR="0078524E" w:rsidRPr="008C00F1" w:rsidRDefault="0078524E" w:rsidP="0078524E">
      <w:pPr>
        <w:pStyle w:val="ReportHeading1"/>
        <w:rPr>
          <w:lang w:val="es-ES"/>
        </w:rPr>
      </w:pPr>
      <w:bookmarkStart w:id="11" w:name="_Toc117175724"/>
      <w:bookmarkStart w:id="12" w:name="_Toc117238123"/>
      <w:r w:rsidRPr="002E2D99">
        <w:rPr>
          <w:lang w:val="es-ES"/>
        </w:rPr>
        <w:t>Convenio sobre el trabajo subterráneo (mujeres), 1935 (núm. 45)</w:t>
      </w:r>
      <w:bookmarkEnd w:id="11"/>
      <w:bookmarkEnd w:id="12"/>
    </w:p>
    <w:p w14:paraId="4F346FEC" w14:textId="77777777" w:rsidR="0078524E" w:rsidRPr="008C00F1" w:rsidRDefault="0078524E" w:rsidP="0078524E">
      <w:pPr>
        <w:pStyle w:val="ReportParaNum"/>
        <w:rPr>
          <w:lang w:val="es-ES"/>
        </w:rPr>
      </w:pPr>
      <w:r w:rsidRPr="008C00F1">
        <w:rPr>
          <w:lang w:val="es-ES"/>
        </w:rPr>
        <w:t>El Convenio núm. 45 fue adoptado en 1935. P</w:t>
      </w:r>
      <w:r>
        <w:rPr>
          <w:lang w:val="es-ES"/>
        </w:rPr>
        <w:t>or él se p</w:t>
      </w:r>
      <w:r w:rsidRPr="008C00F1">
        <w:rPr>
          <w:lang w:val="es-ES"/>
        </w:rPr>
        <w:t xml:space="preserve">rohíbe el empleo de mujeres en trabajos subterráneos en las minas, con determinadas excepciones. </w:t>
      </w:r>
    </w:p>
    <w:p w14:paraId="29B69CC8" w14:textId="40BE613B" w:rsidR="0078524E" w:rsidRPr="002472F3" w:rsidRDefault="0078524E" w:rsidP="0078524E">
      <w:pPr>
        <w:pStyle w:val="ReportParaNum"/>
        <w:rPr>
          <w:lang w:val="es-ES"/>
        </w:rPr>
      </w:pPr>
      <w:r w:rsidRPr="008C00F1">
        <w:rPr>
          <w:lang w:val="es-ES"/>
        </w:rPr>
        <w:t>El Convenio núm. 45 ha sido ratificado por</w:t>
      </w:r>
      <w:r>
        <w:rPr>
          <w:lang w:val="es-ES"/>
        </w:rPr>
        <w:t xml:space="preserve"> </w:t>
      </w:r>
      <w:r w:rsidRPr="008C00F1">
        <w:rPr>
          <w:lang w:val="es-ES"/>
        </w:rPr>
        <w:t xml:space="preserve">98 Estados Miembros. Treinta de esos Estados Miembros lo han denunciado posteriormente. Hasta la fecha, 68 Estados siguen obligados por este </w:t>
      </w:r>
      <w:r w:rsidR="00C62840" w:rsidRPr="008C00F1">
        <w:rPr>
          <w:lang w:val="es-ES"/>
        </w:rPr>
        <w:t>convenio</w:t>
      </w:r>
      <w:r w:rsidRPr="008C00F1">
        <w:rPr>
          <w:lang w:val="es-ES"/>
        </w:rPr>
        <w:t xml:space="preserve">, que </w:t>
      </w:r>
      <w:r>
        <w:rPr>
          <w:lang w:val="es-ES"/>
        </w:rPr>
        <w:t xml:space="preserve">no </w:t>
      </w:r>
      <w:r w:rsidRPr="008C00F1">
        <w:rPr>
          <w:lang w:val="es-ES"/>
        </w:rPr>
        <w:t>es</w:t>
      </w:r>
      <w:r>
        <w:rPr>
          <w:lang w:val="es-ES"/>
        </w:rPr>
        <w:t>tá en consonancia</w:t>
      </w:r>
      <w:r w:rsidRPr="008C00F1">
        <w:rPr>
          <w:lang w:val="es-ES"/>
        </w:rPr>
        <w:t xml:space="preserve"> con los principios fundamentales de igualdad y no discriminación en el trabajo</w:t>
      </w:r>
      <w:r>
        <w:rPr>
          <w:lang w:val="es-ES"/>
        </w:rPr>
        <w:t>, además de no ajustarse</w:t>
      </w:r>
      <w:r w:rsidRPr="008C00F1">
        <w:rPr>
          <w:lang w:val="es-ES"/>
        </w:rPr>
        <w:t xml:space="preserve"> al </w:t>
      </w:r>
      <w:r>
        <w:rPr>
          <w:lang w:val="es-ES"/>
        </w:rPr>
        <w:t xml:space="preserve">actual </w:t>
      </w:r>
      <w:r w:rsidRPr="008C00F1">
        <w:rPr>
          <w:lang w:val="es-ES"/>
        </w:rPr>
        <w:t xml:space="preserve">enfoque normativo respecto de la seguridad y salud en el trabajo. El </w:t>
      </w:r>
      <w:r w:rsidR="00C62840" w:rsidRPr="00C62840">
        <w:rPr>
          <w:lang w:val="es-ES"/>
        </w:rPr>
        <w:t>Convenio sobre seguridad y salud en las minas, 1995 (núm.</w:t>
      </w:r>
      <w:r w:rsidR="00C62840">
        <w:rPr>
          <w:lang w:val="es-ES"/>
        </w:rPr>
        <w:t> </w:t>
      </w:r>
      <w:r w:rsidR="00C62840" w:rsidRPr="00C62840">
        <w:rPr>
          <w:lang w:val="es-ES"/>
        </w:rPr>
        <w:t>176)</w:t>
      </w:r>
      <w:r w:rsidRPr="008C00F1">
        <w:rPr>
          <w:lang w:val="es-ES"/>
        </w:rPr>
        <w:t xml:space="preserve"> se elaboró </w:t>
      </w:r>
      <w:r>
        <w:rPr>
          <w:lang w:val="es-ES"/>
        </w:rPr>
        <w:t xml:space="preserve">por existir una laguna </w:t>
      </w:r>
      <w:r w:rsidRPr="008C00F1">
        <w:rPr>
          <w:lang w:val="es-ES"/>
        </w:rPr>
        <w:t xml:space="preserve">en las normas que protegían a los trabajadores del sector minero, y con él empezó a otorgarse prioridad a </w:t>
      </w:r>
      <w:r>
        <w:rPr>
          <w:lang w:val="es-ES"/>
        </w:rPr>
        <w:t>la protección</w:t>
      </w:r>
      <w:r w:rsidRPr="008C00F1">
        <w:rPr>
          <w:lang w:val="es-ES"/>
        </w:rPr>
        <w:t xml:space="preserve"> </w:t>
      </w:r>
      <w:r>
        <w:rPr>
          <w:lang w:val="es-ES"/>
        </w:rPr>
        <w:t xml:space="preserve">de </w:t>
      </w:r>
      <w:r w:rsidRPr="008C00F1">
        <w:rPr>
          <w:lang w:val="es-ES"/>
        </w:rPr>
        <w:t xml:space="preserve">todos los trabajadores mineros, </w:t>
      </w:r>
      <w:r>
        <w:rPr>
          <w:lang w:val="es-ES"/>
        </w:rPr>
        <w:t>y no solo</w:t>
      </w:r>
      <w:r w:rsidRPr="008C00F1">
        <w:rPr>
          <w:lang w:val="es-ES"/>
        </w:rPr>
        <w:t xml:space="preserve"> a una categoría específica de trabajadores mineros. El Convenio núm. 176 se centra en la evaluación y gestión de riesgos y </w:t>
      </w:r>
      <w:r>
        <w:rPr>
          <w:lang w:val="es-ES"/>
        </w:rPr>
        <w:t>establece</w:t>
      </w:r>
      <w:r w:rsidRPr="008C00F1">
        <w:rPr>
          <w:lang w:val="es-ES"/>
        </w:rPr>
        <w:t xml:space="preserve"> medidas preventivas y de protección para los trabajadores mineros, independientemente de su género y de si trabajan en minas a cielo abierto o subterráneas.</w:t>
      </w:r>
      <w:r>
        <w:rPr>
          <w:lang w:val="es-ES"/>
        </w:rPr>
        <w:t xml:space="preserve"> </w:t>
      </w:r>
      <w:r w:rsidRPr="008C00F1">
        <w:rPr>
          <w:lang w:val="es-ES"/>
        </w:rPr>
        <w:t>Es</w:t>
      </w:r>
      <w:r>
        <w:rPr>
          <w:lang w:val="es-ES"/>
        </w:rPr>
        <w:t>tá en consonancia</w:t>
      </w:r>
      <w:r w:rsidRPr="008C00F1">
        <w:rPr>
          <w:lang w:val="es-ES"/>
        </w:rPr>
        <w:t xml:space="preserve"> con el enfoque normativo moderno respecto de la seguridad y salud en el trabajo adoptado mediante el </w:t>
      </w:r>
      <w:r w:rsidR="00C62840" w:rsidRPr="00C62840">
        <w:rPr>
          <w:lang w:val="es-ES"/>
        </w:rPr>
        <w:t>Convenio sobre seguridad y salud de los trabajadores, 1981 (núm. 155)</w:t>
      </w:r>
      <w:r w:rsidRPr="008C00F1">
        <w:rPr>
          <w:lang w:val="es-ES"/>
        </w:rPr>
        <w:t xml:space="preserve">, y el </w:t>
      </w:r>
      <w:r w:rsidR="00C62840" w:rsidRPr="00C62840">
        <w:rPr>
          <w:lang w:val="es-ES"/>
        </w:rPr>
        <w:t>Convenio sobre el marco promocional para la seguridad y salud en el trabajo, 2006 (núm. 187)</w:t>
      </w:r>
      <w:r w:rsidRPr="008C00F1">
        <w:rPr>
          <w:lang w:val="es-ES"/>
        </w:rPr>
        <w:t xml:space="preserve">, los cuales han sido reconocidos </w:t>
      </w:r>
      <w:r>
        <w:rPr>
          <w:lang w:val="es-ES"/>
        </w:rPr>
        <w:t>en fechas recientes</w:t>
      </w:r>
      <w:r w:rsidRPr="008C00F1">
        <w:rPr>
          <w:lang w:val="es-ES"/>
        </w:rPr>
        <w:t xml:space="preserve"> como convenios fundamentales en el sentido</w:t>
      </w:r>
      <w:r>
        <w:rPr>
          <w:lang w:val="es-ES"/>
        </w:rPr>
        <w:t xml:space="preserve"> de </w:t>
      </w:r>
      <w:r w:rsidRPr="008C00F1">
        <w:rPr>
          <w:lang w:val="es-ES"/>
        </w:rPr>
        <w:t>la Declaración de la OIT relativa a los principios y derechos fundamentales en el trabajo (1998), e</w:t>
      </w:r>
      <w:r>
        <w:rPr>
          <w:lang w:val="es-ES"/>
        </w:rPr>
        <w:t>n su versión enmendada en 2022 </w:t>
      </w:r>
      <w:r w:rsidRPr="008C00F1">
        <w:rPr>
          <w:rStyle w:val="FootnoteReference"/>
          <w:rFonts w:eastAsia="Calibri"/>
          <w:lang w:val="es-ES"/>
        </w:rPr>
        <w:footnoteReference w:id="5"/>
      </w:r>
      <w:r w:rsidRPr="008C00F1">
        <w:rPr>
          <w:lang w:val="es-ES"/>
        </w:rPr>
        <w:t xml:space="preserve">. En su cuarta reunión, celebrada en 2018, el GTT del MEN recomendó que el Convenio núm. 45 se </w:t>
      </w:r>
      <w:r>
        <w:rPr>
          <w:lang w:val="es-ES"/>
        </w:rPr>
        <w:t>clasificara como instrumento</w:t>
      </w:r>
      <w:r w:rsidRPr="008C00F1">
        <w:rPr>
          <w:lang w:val="es-ES"/>
        </w:rPr>
        <w:t xml:space="preserve"> superado y propuso su derogación</w:t>
      </w:r>
      <w:r>
        <w:rPr>
          <w:lang w:val="es-ES"/>
        </w:rPr>
        <w:t> </w:t>
      </w:r>
      <w:r w:rsidRPr="008C00F1">
        <w:rPr>
          <w:rStyle w:val="FootnoteReference"/>
          <w:lang w:val="es-ES"/>
        </w:rPr>
        <w:footnoteReference w:id="6"/>
      </w:r>
      <w:r w:rsidRPr="00E44D99">
        <w:rPr>
          <w:lang w:val="es-ES"/>
        </w:rPr>
        <w:t>.</w:t>
      </w:r>
    </w:p>
    <w:p w14:paraId="5DA97BA6" w14:textId="77777777" w:rsidR="0078524E" w:rsidRPr="008C00F1" w:rsidRDefault="0078524E" w:rsidP="0078524E">
      <w:pPr>
        <w:pStyle w:val="ReportHeading1"/>
        <w:rPr>
          <w:lang w:val="es-ES"/>
        </w:rPr>
      </w:pPr>
      <w:bookmarkStart w:id="13" w:name="_Toc117175725"/>
      <w:bookmarkStart w:id="14" w:name="_Toc117238124"/>
      <w:r w:rsidRPr="002E2D99">
        <w:rPr>
          <w:lang w:val="es-ES"/>
        </w:rPr>
        <w:t>Convenio sobre las prescripciones de seguridad (edificación), 1937 (núm. 62)</w:t>
      </w:r>
      <w:bookmarkEnd w:id="13"/>
      <w:bookmarkEnd w:id="14"/>
    </w:p>
    <w:p w14:paraId="49F964B9" w14:textId="77777777" w:rsidR="0078524E" w:rsidRPr="008C00F1" w:rsidRDefault="0078524E" w:rsidP="0078524E">
      <w:pPr>
        <w:pStyle w:val="ReportParaNum"/>
        <w:rPr>
          <w:lang w:val="es-ES"/>
        </w:rPr>
      </w:pPr>
      <w:r w:rsidRPr="008C00F1">
        <w:rPr>
          <w:lang w:val="es-ES"/>
        </w:rPr>
        <w:t xml:space="preserve">El Convenio núm. 62 se adoptó en 1937 para establecer prescripciones de seguridad en la industria de la edificación, y se limita en gran medida a los andamiajes y aparatos elevadores. </w:t>
      </w:r>
      <w:r>
        <w:rPr>
          <w:lang w:val="es-ES"/>
        </w:rPr>
        <w:t xml:space="preserve">Ha sido revisado </w:t>
      </w:r>
      <w:r w:rsidRPr="008C00F1">
        <w:rPr>
          <w:lang w:val="es-ES"/>
        </w:rPr>
        <w:t>por el Convenio sobre seguridad y salud en la construcción, 1988 (núm. 167).</w:t>
      </w:r>
    </w:p>
    <w:p w14:paraId="7F99E9BD" w14:textId="21B4FA32" w:rsidR="0078524E" w:rsidRPr="008C00F1" w:rsidRDefault="0078524E" w:rsidP="0078524E">
      <w:pPr>
        <w:pStyle w:val="ReportParaNum"/>
        <w:rPr>
          <w:lang w:val="es-ES"/>
        </w:rPr>
      </w:pPr>
      <w:r w:rsidRPr="008C00F1">
        <w:rPr>
          <w:lang w:val="es-ES"/>
        </w:rPr>
        <w:t xml:space="preserve">El Convenio núm. 62 ha sido ratificado por 30 Estados Miembros y denunciado por 11 de ellos </w:t>
      </w:r>
      <w:r>
        <w:rPr>
          <w:lang w:val="es-ES"/>
        </w:rPr>
        <w:t>por el hecho de haber ratificado el</w:t>
      </w:r>
      <w:r w:rsidRPr="008C00F1">
        <w:rPr>
          <w:lang w:val="es-ES"/>
        </w:rPr>
        <w:t xml:space="preserve"> Convenio núm. 1</w:t>
      </w:r>
      <w:r>
        <w:rPr>
          <w:lang w:val="es-ES"/>
        </w:rPr>
        <w:t>6</w:t>
      </w:r>
      <w:r w:rsidRPr="008C00F1">
        <w:rPr>
          <w:lang w:val="es-ES"/>
        </w:rPr>
        <w:t xml:space="preserve">7. Quedó cerrado a nuevas ratificaciones en enero de 1991, cuando entró en vigor el </w:t>
      </w:r>
      <w:r>
        <w:rPr>
          <w:lang w:val="es-ES"/>
        </w:rPr>
        <w:t>Convenio núm. 167. Este último contempla</w:t>
      </w:r>
      <w:r w:rsidRPr="008C00F1">
        <w:rPr>
          <w:lang w:val="es-ES"/>
        </w:rPr>
        <w:t xml:space="preserve"> las necesidades interrelacionadas de la edificación y la ingeniería civil en la industria de la construcción y establece disposiciones más actuales para todo el sector de la construcción, que reflejan los enormes cambios experimentados en la índole y magnitud de las operaciones que se llevan a cabo en dicha industria. Su enfoque es en gran medida coherente con el enfoque </w:t>
      </w:r>
      <w:r w:rsidRPr="008C00F1">
        <w:rPr>
          <w:lang w:val="es-ES"/>
        </w:rPr>
        <w:lastRenderedPageBreak/>
        <w:t xml:space="preserve">normativo </w:t>
      </w:r>
      <w:r>
        <w:rPr>
          <w:lang w:val="es-ES"/>
        </w:rPr>
        <w:t>moderno</w:t>
      </w:r>
      <w:r w:rsidRPr="008C00F1">
        <w:rPr>
          <w:lang w:val="es-ES"/>
        </w:rPr>
        <w:t xml:space="preserve"> de la seguridad y la salud en el trabajo adoptado por los Convenios fundamentales núms. 155 y 187. En su cuarta reunión, celebrada en 2018, el GTT del MEN recomendó que</w:t>
      </w:r>
      <w:r>
        <w:rPr>
          <w:lang w:val="es-ES"/>
        </w:rPr>
        <w:t xml:space="preserve"> se confirmara</w:t>
      </w:r>
      <w:r w:rsidRPr="008C00F1">
        <w:rPr>
          <w:lang w:val="es-ES"/>
        </w:rPr>
        <w:t xml:space="preserve"> la </w:t>
      </w:r>
      <w:r>
        <w:rPr>
          <w:lang w:val="es-ES"/>
        </w:rPr>
        <w:t>clasificación</w:t>
      </w:r>
      <w:r w:rsidRPr="008C00F1">
        <w:rPr>
          <w:lang w:val="es-ES"/>
        </w:rPr>
        <w:t xml:space="preserve"> del Convenio núm. 6</w:t>
      </w:r>
      <w:r w:rsidR="00931FBC">
        <w:rPr>
          <w:lang w:val="es-ES"/>
        </w:rPr>
        <w:t>2</w:t>
      </w:r>
      <w:r w:rsidRPr="008C00F1">
        <w:rPr>
          <w:lang w:val="es-ES"/>
        </w:rPr>
        <w:t xml:space="preserve"> como instrumento superado y propuso su derogación </w:t>
      </w:r>
      <w:r w:rsidRPr="008C00F1">
        <w:rPr>
          <w:rStyle w:val="FootnoteReference"/>
          <w:lang w:val="es-ES"/>
        </w:rPr>
        <w:footnoteReference w:id="7"/>
      </w:r>
      <w:r w:rsidRPr="008C00F1">
        <w:rPr>
          <w:lang w:val="es-ES"/>
        </w:rPr>
        <w:t xml:space="preserve">. </w:t>
      </w:r>
    </w:p>
    <w:p w14:paraId="4EA90460" w14:textId="07E3F2FC" w:rsidR="0078524E" w:rsidRPr="008C00F1" w:rsidRDefault="0078524E" w:rsidP="0078524E">
      <w:pPr>
        <w:pStyle w:val="ReportHeading1"/>
        <w:rPr>
          <w:lang w:val="es-ES"/>
        </w:rPr>
      </w:pPr>
      <w:bookmarkStart w:id="15" w:name="_Toc117175726"/>
      <w:bookmarkStart w:id="16" w:name="_Toc117238125"/>
      <w:r w:rsidRPr="002E2D99">
        <w:rPr>
          <w:lang w:val="es-ES"/>
        </w:rPr>
        <w:t>Convenio sobre estadísticas de salarios y horas de trabajo, 1938</w:t>
      </w:r>
      <w:r w:rsidR="00C654E2">
        <w:rPr>
          <w:lang w:val="es-ES"/>
        </w:rPr>
        <w:t> </w:t>
      </w:r>
      <w:r w:rsidRPr="002E2D99">
        <w:rPr>
          <w:lang w:val="es-ES"/>
        </w:rPr>
        <w:t>(núm. 63)</w:t>
      </w:r>
      <w:bookmarkEnd w:id="15"/>
      <w:bookmarkEnd w:id="16"/>
    </w:p>
    <w:p w14:paraId="4519B582" w14:textId="77777777" w:rsidR="0078524E" w:rsidRPr="008C00F1" w:rsidRDefault="0078524E" w:rsidP="0078524E">
      <w:pPr>
        <w:pStyle w:val="ReportParaNum"/>
        <w:rPr>
          <w:lang w:val="es-ES"/>
        </w:rPr>
      </w:pPr>
      <w:r w:rsidRPr="008C00F1">
        <w:rPr>
          <w:lang w:val="es-ES"/>
        </w:rPr>
        <w:t xml:space="preserve">El Convenio núm. 63 fue adoptado en 1938. </w:t>
      </w:r>
      <w:r>
        <w:rPr>
          <w:lang w:val="es-ES"/>
        </w:rPr>
        <w:t>En él se prevé la elaboración de</w:t>
      </w:r>
      <w:r w:rsidRPr="008C00F1">
        <w:rPr>
          <w:lang w:val="es-ES"/>
        </w:rPr>
        <w:t xml:space="preserve"> una serie básica de estadísticas periódicas sobre salarios y horas de trabajo para diversos fines y </w:t>
      </w:r>
      <w:r>
        <w:rPr>
          <w:lang w:val="es-ES"/>
        </w:rPr>
        <w:t xml:space="preserve">se preceptúa </w:t>
      </w:r>
      <w:r w:rsidRPr="008C00F1">
        <w:rPr>
          <w:lang w:val="es-ES"/>
        </w:rPr>
        <w:t xml:space="preserve">que los Estados ratificantes </w:t>
      </w:r>
      <w:r>
        <w:rPr>
          <w:lang w:val="es-ES"/>
        </w:rPr>
        <w:t>deberán compilar</w:t>
      </w:r>
      <w:r w:rsidRPr="008C00F1">
        <w:rPr>
          <w:lang w:val="es-ES"/>
        </w:rPr>
        <w:t>, publi</w:t>
      </w:r>
      <w:r>
        <w:rPr>
          <w:lang w:val="es-ES"/>
        </w:rPr>
        <w:t>car</w:t>
      </w:r>
      <w:r w:rsidRPr="008C00F1">
        <w:rPr>
          <w:lang w:val="es-ES"/>
        </w:rPr>
        <w:t xml:space="preserve"> y comuni</w:t>
      </w:r>
      <w:r>
        <w:rPr>
          <w:lang w:val="es-ES"/>
        </w:rPr>
        <w:t>car</w:t>
      </w:r>
      <w:r w:rsidRPr="008C00F1">
        <w:rPr>
          <w:lang w:val="es-ES"/>
        </w:rPr>
        <w:t xml:space="preserve"> estadísticas de salarios y horas de trabajo en la minería, las industrias manufactureras y la agricultura. </w:t>
      </w:r>
      <w:r>
        <w:rPr>
          <w:lang w:val="es-ES"/>
        </w:rPr>
        <w:t xml:space="preserve">Este instrumento ha sido revisado por </w:t>
      </w:r>
      <w:r w:rsidRPr="008C00F1">
        <w:rPr>
          <w:lang w:val="es-ES"/>
        </w:rPr>
        <w:t>el Convenio sobre estadísticas del trabajo, 1985 (núm. 160).</w:t>
      </w:r>
    </w:p>
    <w:p w14:paraId="065525E1" w14:textId="77777777" w:rsidR="0078524E" w:rsidRPr="002E2D99" w:rsidRDefault="0078524E" w:rsidP="0078524E">
      <w:pPr>
        <w:pStyle w:val="ReportParaNum"/>
        <w:rPr>
          <w:lang w:val="es-ES"/>
        </w:rPr>
      </w:pPr>
      <w:r w:rsidRPr="002E2D99">
        <w:rPr>
          <w:lang w:val="es-ES"/>
        </w:rPr>
        <w:t>El Convenio núm. 63 ha sido ratificado por 34 Estados Miembros y denunciado por 20 de ellos por el hecho de haber ratificado el Convenio núm. 160. Quedó cerrado a nuevas ratificaciones en 1988, cuando entró en vigor el Convenio núm. 160. Ya no se ajusta al actual enfoque normativo de las estadísticas del trabajo. Por el Convenio núm. 160 se revisa y amplía el Convenio núm. 63 para tener en cuenta las necesidades modernas de un sistema integrado de estadísticas del trabajo. Presenta una flexibilidad notable en lo relativo a su aplicación y garantiza el acopio y la compilación de estadísticas básicas del trabajo completas. En su cuarta reunión, celebrada en 2018, el GTT del MEN recomendó que se confirmara la clasificación del Convenio núm. 63 como instrumento superado y propuso su derogación </w:t>
      </w:r>
      <w:r w:rsidRPr="008C00F1">
        <w:rPr>
          <w:rStyle w:val="FootnoteReference"/>
          <w:lang w:val="es-ES"/>
        </w:rPr>
        <w:footnoteReference w:id="8"/>
      </w:r>
      <w:r w:rsidRPr="002E2D99">
        <w:rPr>
          <w:lang w:val="es-ES"/>
        </w:rPr>
        <w:t xml:space="preserve">. </w:t>
      </w:r>
    </w:p>
    <w:p w14:paraId="0B9AE090" w14:textId="409E970B" w:rsidR="0078524E" w:rsidRPr="008C00F1" w:rsidRDefault="0078524E" w:rsidP="0078524E">
      <w:pPr>
        <w:pStyle w:val="ReportHeading1"/>
        <w:rPr>
          <w:lang w:val="es-ES"/>
        </w:rPr>
      </w:pPr>
      <w:bookmarkStart w:id="17" w:name="_Toc117175727"/>
      <w:bookmarkStart w:id="18" w:name="_Toc117238126"/>
      <w:r w:rsidRPr="008C00F1">
        <w:rPr>
          <w:lang w:val="es-ES"/>
        </w:rPr>
        <w:t>Convenio sobre la inspección del trabajo (territorios no</w:t>
      </w:r>
      <w:r w:rsidR="00C654E2">
        <w:rPr>
          <w:lang w:val="es-ES"/>
        </w:rPr>
        <w:t> </w:t>
      </w:r>
      <w:r w:rsidRPr="008C00F1">
        <w:rPr>
          <w:lang w:val="es-ES"/>
        </w:rPr>
        <w:t>metropolitanos), 1947 (núm. 85)</w:t>
      </w:r>
      <w:bookmarkEnd w:id="17"/>
      <w:bookmarkEnd w:id="18"/>
    </w:p>
    <w:p w14:paraId="4FA5B427" w14:textId="77777777" w:rsidR="0078524E" w:rsidRPr="008C00F1" w:rsidRDefault="0078524E" w:rsidP="0078524E">
      <w:pPr>
        <w:pStyle w:val="ReportParaNum"/>
        <w:rPr>
          <w:lang w:val="es-ES"/>
        </w:rPr>
      </w:pPr>
      <w:r w:rsidRPr="008C00F1">
        <w:rPr>
          <w:lang w:val="es-ES"/>
        </w:rPr>
        <w:t xml:space="preserve">El Convenio núm. 85 fue adoptado en 1947. </w:t>
      </w:r>
      <w:r>
        <w:rPr>
          <w:lang w:val="es-ES"/>
        </w:rPr>
        <w:t>Tiene por objeto</w:t>
      </w:r>
      <w:r w:rsidRPr="008C00F1">
        <w:rPr>
          <w:lang w:val="es-ES"/>
        </w:rPr>
        <w:t xml:space="preserve"> garantizar la aplicación de unas normas mínimas de inspección del trabajo a los territorios no metropolitanos hasta que </w:t>
      </w:r>
      <w:r>
        <w:rPr>
          <w:lang w:val="es-ES"/>
        </w:rPr>
        <w:t>puedan obligarse</w:t>
      </w:r>
      <w:r w:rsidRPr="008C00F1">
        <w:rPr>
          <w:lang w:val="es-ES"/>
        </w:rPr>
        <w:t xml:space="preserve"> por </w:t>
      </w:r>
      <w:r>
        <w:rPr>
          <w:lang w:val="es-ES"/>
        </w:rPr>
        <w:t>medio d</w:t>
      </w:r>
      <w:r w:rsidRPr="008C00F1">
        <w:rPr>
          <w:lang w:val="es-ES"/>
        </w:rPr>
        <w:t>el Convenio sobre la inspección del trabajo, 1947 (núm</w:t>
      </w:r>
      <w:r>
        <w:rPr>
          <w:lang w:val="es-ES"/>
        </w:rPr>
        <w:t>. </w:t>
      </w:r>
      <w:r w:rsidRPr="008C00F1">
        <w:rPr>
          <w:lang w:val="es-ES"/>
        </w:rPr>
        <w:t>81), de carácter más completo.</w:t>
      </w:r>
      <w:r>
        <w:rPr>
          <w:lang w:val="es-ES"/>
        </w:rPr>
        <w:t xml:space="preserve"> </w:t>
      </w:r>
    </w:p>
    <w:p w14:paraId="13578769" w14:textId="64E7C27E" w:rsidR="0078524E" w:rsidRPr="0078524E" w:rsidRDefault="0078524E" w:rsidP="0078524E">
      <w:pPr>
        <w:pStyle w:val="ReportParaNum"/>
        <w:rPr>
          <w:lang w:val="es-ES"/>
        </w:rPr>
      </w:pPr>
      <w:r w:rsidRPr="008C00F1">
        <w:rPr>
          <w:lang w:val="es-ES"/>
        </w:rPr>
        <w:t xml:space="preserve">El Convenio núm. 85 ha sido ratificado por 11 Estados Miembros y denunciado por </w:t>
      </w:r>
      <w:r w:rsidR="004A5D69">
        <w:rPr>
          <w:lang w:val="es-ES"/>
        </w:rPr>
        <w:t>1</w:t>
      </w:r>
      <w:r w:rsidRPr="008C00F1">
        <w:rPr>
          <w:lang w:val="es-ES"/>
        </w:rPr>
        <w:t xml:space="preserve"> Estado Miembro. Actualmente es aplicable en cuatro territorios no metropolitanos. El alejamiento del principio de universalidad de la OIT, motivado por el nivel de desarrollo económico y social de los territorios no metropolitanos, </w:t>
      </w:r>
      <w:r>
        <w:rPr>
          <w:lang w:val="es-ES"/>
        </w:rPr>
        <w:t xml:space="preserve">no </w:t>
      </w:r>
      <w:r w:rsidRPr="008C00F1">
        <w:rPr>
          <w:lang w:val="es-ES"/>
        </w:rPr>
        <w:t xml:space="preserve">es coherente con el enfoque normativo tradicional de las </w:t>
      </w:r>
      <w:r w:rsidRPr="008C00F1">
        <w:rPr>
          <w:lang w:val="es-ES"/>
        </w:rPr>
        <w:lastRenderedPageBreak/>
        <w:t xml:space="preserve">normas internacionales del trabajo, que por el contrario prevé mecanismos con una flexibilidad inherente a través de normas de aplicación universal. Además, el contenido de sus disposiciones sustantivas se repite en numerosas ocasiones en el Convenio núm. 81 y en el Convenio sobre la inspección del trabajo (agricultura), 1969 (núm. 129), que son de alcance universal, </w:t>
      </w:r>
      <w:r>
        <w:rPr>
          <w:lang w:val="es-ES"/>
        </w:rPr>
        <w:t>de carácter flexible</w:t>
      </w:r>
      <w:r w:rsidRPr="008C00F1">
        <w:rPr>
          <w:lang w:val="es-ES"/>
        </w:rPr>
        <w:t xml:space="preserve"> y disponen requisitos más amplios respecto de la</w:t>
      </w:r>
      <w:r>
        <w:rPr>
          <w:lang w:val="es-ES"/>
        </w:rPr>
        <w:t xml:space="preserve"> inspección del trabajo. Ambos c</w:t>
      </w:r>
      <w:r w:rsidRPr="008C00F1">
        <w:rPr>
          <w:lang w:val="es-ES"/>
        </w:rPr>
        <w:t xml:space="preserve">onvenios son reconocidos como los más significativos desde el punto de vista de la gobernanza. En su cuarta reunión, celebrada en 2018, el GTT del MEN recomendó que el Convenio núm. 85 se </w:t>
      </w:r>
      <w:r>
        <w:rPr>
          <w:lang w:val="es-ES"/>
        </w:rPr>
        <w:t xml:space="preserve">clasificara como instrumento </w:t>
      </w:r>
      <w:r w:rsidRPr="008C00F1">
        <w:rPr>
          <w:lang w:val="es-ES"/>
        </w:rPr>
        <w:t>superado y propuso su derogación </w:t>
      </w:r>
      <w:r w:rsidRPr="008C00F1">
        <w:rPr>
          <w:rStyle w:val="FootnoteReference"/>
          <w:lang w:val="es-ES"/>
        </w:rPr>
        <w:footnoteReference w:id="9"/>
      </w:r>
      <w:r w:rsidRPr="008C00F1">
        <w:rPr>
          <w:lang w:val="es-ES"/>
        </w:rPr>
        <w:t>.</w:t>
      </w:r>
    </w:p>
    <w:p w14:paraId="45283C91" w14:textId="77777777" w:rsidR="003246C3" w:rsidRDefault="003246C3" w:rsidP="003246C3">
      <w:pPr>
        <w:pStyle w:val="ReportPara"/>
        <w:sectPr w:rsidR="003246C3" w:rsidSect="0078524E">
          <w:pgSz w:w="11906" w:h="16838" w:code="9"/>
          <w:pgMar w:top="2268" w:right="1134" w:bottom="964" w:left="1134" w:header="851" w:footer="680" w:gutter="0"/>
          <w:cols w:space="284"/>
          <w:titlePg/>
          <w:docGrid w:linePitch="360"/>
          <w15:footnoteColumns w:val="1"/>
        </w:sectPr>
      </w:pPr>
    </w:p>
    <w:p w14:paraId="7FD5A4C3" w14:textId="2928C9A8" w:rsidR="0078524E" w:rsidRDefault="003246C3" w:rsidP="003246C3">
      <w:pPr>
        <w:pStyle w:val="ReportChapter"/>
      </w:pPr>
      <w:bookmarkStart w:id="19" w:name="_Toc117175728"/>
      <w:bookmarkStart w:id="20" w:name="_Toc117238127"/>
      <w:r w:rsidRPr="003246C3">
        <w:rPr>
          <w:bCs/>
          <w:lang w:val="es-ES"/>
        </w:rPr>
        <w:lastRenderedPageBreak/>
        <w:t>Cuestionario</w:t>
      </w:r>
      <w:bookmarkEnd w:id="19"/>
      <w:bookmarkEnd w:id="20"/>
    </w:p>
    <w:p w14:paraId="39BB530B" w14:textId="3E6D5009" w:rsidR="003246C3" w:rsidRPr="008C00F1" w:rsidRDefault="003246C3" w:rsidP="003246C3">
      <w:pPr>
        <w:pStyle w:val="ReportHeading4"/>
        <w:keepLines/>
        <w:rPr>
          <w:lang w:val="es-ES"/>
        </w:rPr>
      </w:pPr>
      <w:r w:rsidRPr="008C00F1">
        <w:rPr>
          <w:lang w:val="es-ES"/>
        </w:rPr>
        <w:t>¿Considera que los cuatro convenios mencionados anteriormente deben derogarse?</w:t>
      </w:r>
    </w:p>
    <w:p w14:paraId="626DA7F5" w14:textId="4D40668C" w:rsidR="003246C3" w:rsidRPr="005B0B86" w:rsidRDefault="003246C3" w:rsidP="003246C3">
      <w:pPr>
        <w:keepNext/>
        <w:keepLines/>
        <w:spacing w:after="0" w:line="276" w:lineRule="auto"/>
        <w:rPr>
          <w:rFonts w:eastAsia="Calibri"/>
          <w:b/>
          <w:sz w:val="20"/>
          <w:szCs w:val="20"/>
          <w:lang w:val="es-ES"/>
        </w:rPr>
      </w:pPr>
      <w:r w:rsidRPr="003246C3">
        <w:rPr>
          <w:rFonts w:cs="Times New Roman"/>
          <w:b/>
          <w:bCs/>
          <w:sz w:val="20"/>
          <w:szCs w:val="20"/>
          <w:lang w:val="es-ES"/>
        </w:rPr>
        <w:t xml:space="preserve">       </w:t>
      </w:r>
      <w:r>
        <w:rPr>
          <w:rFonts w:cs="Times New Roman"/>
          <w:b/>
          <w:bCs/>
          <w:sz w:val="20"/>
          <w:szCs w:val="20"/>
          <w:lang w:val="es-ES"/>
        </w:rPr>
        <w:t xml:space="preserve">   </w:t>
      </w:r>
      <w:sdt>
        <w:sdtPr>
          <w:rPr>
            <w:rFonts w:ascii="Times New Roman" w:eastAsia="Calibri" w:hAnsi="Times New Roman" w:cs="Times New Roman"/>
            <w:b/>
            <w:sz w:val="20"/>
            <w:szCs w:val="20"/>
            <w:lang w:val="es-ES"/>
          </w:rPr>
          <w:id w:val="656815127"/>
          <w14:checkbox>
            <w14:checked w14:val="0"/>
            <w14:checkedState w14:val="2612" w14:font="MS Gothic"/>
            <w14:uncheckedState w14:val="2610" w14:font="MS Gothic"/>
          </w14:checkbox>
        </w:sdtPr>
        <w:sdtEndPr/>
        <w:sdtContent>
          <w:r w:rsidR="00F57EFF">
            <w:rPr>
              <w:rFonts w:ascii="MS Gothic" w:eastAsia="MS Gothic" w:hAnsi="MS Gothic" w:cs="Times New Roman" w:hint="eastAsia"/>
              <w:b/>
              <w:sz w:val="20"/>
              <w:szCs w:val="20"/>
              <w:lang w:val="es-ES"/>
            </w:rPr>
            <w:t>☐</w:t>
          </w:r>
        </w:sdtContent>
      </w:sdt>
      <w:r>
        <w:rPr>
          <w:rFonts w:cs="Times New Roman"/>
          <w:b/>
          <w:bCs/>
          <w:sz w:val="20"/>
          <w:szCs w:val="20"/>
          <w:lang w:val="es-ES"/>
        </w:rPr>
        <w:t xml:space="preserve"> </w:t>
      </w:r>
      <w:r w:rsidRPr="005B0B86">
        <w:rPr>
          <w:rFonts w:cs="Times New Roman"/>
          <w:b/>
          <w:bCs/>
          <w:sz w:val="20"/>
          <w:szCs w:val="20"/>
          <w:lang w:val="es-ES"/>
        </w:rPr>
        <w:t>Sí</w:t>
      </w:r>
      <w:r>
        <w:rPr>
          <w:rFonts w:cs="Times New Roman"/>
          <w:b/>
          <w:bCs/>
          <w:sz w:val="20"/>
          <w:szCs w:val="20"/>
          <w:lang w:val="es-ES"/>
        </w:rPr>
        <w:t xml:space="preserve">           </w:t>
      </w:r>
      <w:r>
        <w:rPr>
          <w:rFonts w:ascii="Times New Roman" w:hAnsi="Times New Roman" w:cs="Times New Roman"/>
          <w:b/>
          <w:bCs/>
          <w:sz w:val="20"/>
          <w:szCs w:val="20"/>
          <w:lang w:val="es-ES"/>
        </w:rPr>
        <w:t xml:space="preserve"> </w:t>
      </w:r>
      <w:sdt>
        <w:sdtPr>
          <w:rPr>
            <w:rFonts w:ascii="Times New Roman" w:eastAsia="Calibri" w:hAnsi="Times New Roman" w:cs="Times New Roman"/>
            <w:b/>
            <w:sz w:val="20"/>
            <w:szCs w:val="20"/>
            <w:lang w:val="es-ES"/>
          </w:rPr>
          <w:id w:val="-1748023111"/>
          <w14:checkbox>
            <w14:checked w14:val="0"/>
            <w14:checkedState w14:val="2612" w14:font="MS Gothic"/>
            <w14:uncheckedState w14:val="2610" w14:font="MS Gothic"/>
          </w14:checkbox>
        </w:sdtPr>
        <w:sdtEndPr/>
        <w:sdtContent>
          <w:r w:rsidR="00F57EFF">
            <w:rPr>
              <w:rFonts w:ascii="MS Gothic" w:eastAsia="MS Gothic" w:hAnsi="MS Gothic" w:cs="Times New Roman" w:hint="eastAsia"/>
              <w:b/>
              <w:sz w:val="20"/>
              <w:szCs w:val="20"/>
              <w:lang w:val="es-ES"/>
            </w:rPr>
            <w:t>☐</w:t>
          </w:r>
        </w:sdtContent>
      </w:sdt>
      <w:r w:rsidRPr="005B0B86">
        <w:rPr>
          <w:rFonts w:ascii="Times New Roman" w:hAnsi="Times New Roman" w:cs="Times New Roman"/>
          <w:b/>
          <w:bCs/>
          <w:sz w:val="20"/>
          <w:szCs w:val="20"/>
          <w:lang w:val="es-ES"/>
        </w:rPr>
        <w:t xml:space="preserve"> </w:t>
      </w:r>
      <w:r w:rsidRPr="005B0B86">
        <w:rPr>
          <w:rFonts w:cs="Times New Roman"/>
          <w:b/>
          <w:bCs/>
          <w:sz w:val="20"/>
          <w:szCs w:val="20"/>
          <w:lang w:val="es-ES"/>
        </w:rPr>
        <w:t>No</w:t>
      </w:r>
    </w:p>
    <w:p w14:paraId="1895F339" w14:textId="2F400B07" w:rsidR="00F70B15" w:rsidRDefault="003246C3" w:rsidP="008411FC">
      <w:pPr>
        <w:pStyle w:val="ReportParaIndentFirstline"/>
        <w:keepNext/>
        <w:keepLines/>
        <w:rPr>
          <w:lang w:val="es-ES"/>
        </w:rPr>
      </w:pPr>
      <w:r w:rsidRPr="008C00F1">
        <w:rPr>
          <w:lang w:val="es-ES"/>
        </w:rPr>
        <w:t xml:space="preserve">Si la respuesta a </w:t>
      </w:r>
      <w:r>
        <w:rPr>
          <w:lang w:val="es-ES"/>
        </w:rPr>
        <w:t>esta</w:t>
      </w:r>
      <w:r w:rsidRPr="008C00F1">
        <w:rPr>
          <w:lang w:val="es-ES"/>
        </w:rPr>
        <w:t xml:space="preserve"> pregunta es «no», indique qué convenio(s) de entre los instrumentos enumerados anteriormente considera que no han perdido su objeto o que siguen aportando una contribución útil a la consecución de los objetivos de la Organización, así como las razones que motivan su respuesta.</w:t>
      </w:r>
      <w:r>
        <w:rPr>
          <w:lang w:val="es-ES"/>
        </w:rPr>
        <w:t xml:space="preserve"> </w:t>
      </w:r>
    </w:p>
    <w:bookmarkEnd w:id="8"/>
    <w:p w14:paraId="47CF76CD" w14:textId="5A5FCB0A" w:rsidR="00892BE8" w:rsidRPr="00E60082" w:rsidRDefault="00EA6BFE" w:rsidP="00EA6BFE">
      <w:pPr>
        <w:spacing w:after="0" w:line="276" w:lineRule="auto"/>
        <w:rPr>
          <w:rFonts w:eastAsia="Calibri"/>
          <w:bCs/>
          <w:sz w:val="20"/>
          <w:szCs w:val="20"/>
          <w:shd w:val="clear" w:color="auto" w:fill="EBF5FD"/>
          <w:lang w:val="es-ES"/>
        </w:rPr>
      </w:pPr>
      <w:r>
        <w:rPr>
          <w:rFonts w:eastAsia="Calibri"/>
          <w:bCs/>
          <w:sz w:val="20"/>
          <w:szCs w:val="20"/>
          <w:shd w:val="clear" w:color="auto" w:fill="EBF5FD"/>
          <w:lang w:val="es-ES"/>
        </w:rPr>
        <w:fldChar w:fldCharType="begin">
          <w:ffData>
            <w:name w:val="Text1"/>
            <w:enabled/>
            <w:calcOnExit w:val="0"/>
            <w:textInput>
              <w:default w:val="Haga doble clic para introducir sus comentarios"/>
            </w:textInput>
          </w:ffData>
        </w:fldChar>
      </w:r>
      <w:bookmarkStart w:id="21" w:name="Text1"/>
      <w:r>
        <w:rPr>
          <w:rFonts w:eastAsia="Calibri"/>
          <w:bCs/>
          <w:sz w:val="20"/>
          <w:szCs w:val="20"/>
          <w:shd w:val="clear" w:color="auto" w:fill="EBF5FD"/>
          <w:lang w:val="es-ES"/>
        </w:rPr>
        <w:instrText xml:space="preserve"> FORMTEXT </w:instrText>
      </w:r>
      <w:r>
        <w:rPr>
          <w:rFonts w:eastAsia="Calibri"/>
          <w:bCs/>
          <w:sz w:val="20"/>
          <w:szCs w:val="20"/>
          <w:shd w:val="clear" w:color="auto" w:fill="EBF5FD"/>
          <w:lang w:val="es-ES"/>
        </w:rPr>
      </w:r>
      <w:r>
        <w:rPr>
          <w:rFonts w:eastAsia="Calibri"/>
          <w:bCs/>
          <w:sz w:val="20"/>
          <w:szCs w:val="20"/>
          <w:shd w:val="clear" w:color="auto" w:fill="EBF5FD"/>
          <w:lang w:val="es-ES"/>
        </w:rPr>
        <w:fldChar w:fldCharType="separate"/>
      </w:r>
      <w:r>
        <w:rPr>
          <w:rFonts w:eastAsia="Calibri"/>
          <w:bCs/>
          <w:noProof/>
          <w:sz w:val="20"/>
          <w:szCs w:val="20"/>
          <w:shd w:val="clear" w:color="auto" w:fill="EBF5FD"/>
          <w:lang w:val="es-ES"/>
        </w:rPr>
        <w:t>Haga doble clic para introducir sus comentarios</w:t>
      </w:r>
      <w:r>
        <w:rPr>
          <w:rFonts w:eastAsia="Calibri"/>
          <w:bCs/>
          <w:sz w:val="20"/>
          <w:szCs w:val="20"/>
          <w:shd w:val="clear" w:color="auto" w:fill="EBF5FD"/>
          <w:lang w:val="es-ES"/>
        </w:rPr>
        <w:fldChar w:fldCharType="end"/>
      </w:r>
      <w:bookmarkEnd w:id="21"/>
    </w:p>
    <w:sectPr w:rsidR="00892BE8" w:rsidRPr="00E60082" w:rsidSect="003246C3">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889FC" w14:textId="77777777" w:rsidR="00843118" w:rsidRDefault="00843118" w:rsidP="00D83F6C">
      <w:pPr>
        <w:spacing w:line="240" w:lineRule="auto"/>
      </w:pPr>
      <w:r>
        <w:separator/>
      </w:r>
    </w:p>
    <w:p w14:paraId="16D26B74" w14:textId="77777777" w:rsidR="00843118" w:rsidRDefault="00843118"/>
    <w:p w14:paraId="217111FE" w14:textId="77777777" w:rsidR="00843118" w:rsidRDefault="00843118"/>
    <w:p w14:paraId="09CBF061" w14:textId="77777777" w:rsidR="00843118" w:rsidRDefault="00843118"/>
  </w:endnote>
  <w:endnote w:type="continuationSeparator" w:id="0">
    <w:p w14:paraId="4F92422B" w14:textId="77777777" w:rsidR="00843118" w:rsidRDefault="00843118" w:rsidP="00D83F6C">
      <w:pPr>
        <w:spacing w:line="240" w:lineRule="auto"/>
      </w:pPr>
      <w:r>
        <w:continuationSeparator/>
      </w:r>
    </w:p>
    <w:p w14:paraId="39015E56" w14:textId="77777777" w:rsidR="00843118" w:rsidRDefault="00843118"/>
    <w:p w14:paraId="048CE69B" w14:textId="77777777" w:rsidR="00843118" w:rsidRDefault="00843118"/>
    <w:p w14:paraId="2C778839" w14:textId="77777777" w:rsidR="00843118" w:rsidRDefault="008431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w:panose1 w:val="00000500000000000000"/>
    <w:charset w:val="00"/>
    <w:family w:val="modern"/>
    <w:notTrueType/>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modern"/>
    <w:notTrueType/>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C2C0C" w14:textId="77777777" w:rsidR="00843118" w:rsidRPr="006F73BE" w:rsidRDefault="00843118" w:rsidP="006F73BE">
      <w:pPr>
        <w:pStyle w:val="FootnoteSeparator"/>
      </w:pPr>
    </w:p>
  </w:footnote>
  <w:footnote w:type="continuationSeparator" w:id="0">
    <w:p w14:paraId="1933A527" w14:textId="77777777" w:rsidR="00843118" w:rsidRDefault="00843118" w:rsidP="00D83F6C">
      <w:pPr>
        <w:spacing w:line="240" w:lineRule="auto"/>
      </w:pPr>
      <w:r>
        <w:continuationSeparator/>
      </w:r>
    </w:p>
    <w:p w14:paraId="6D538BA0" w14:textId="77777777" w:rsidR="00843118" w:rsidRDefault="00843118"/>
    <w:p w14:paraId="39207DC0" w14:textId="77777777" w:rsidR="00843118" w:rsidRDefault="00843118"/>
    <w:p w14:paraId="2E84F5B5" w14:textId="77777777" w:rsidR="00843118" w:rsidRDefault="00843118"/>
  </w:footnote>
  <w:footnote w:id="1">
    <w:p w14:paraId="5BD09DAB" w14:textId="63DDD71D" w:rsidR="00187D2B" w:rsidRPr="0029484D" w:rsidRDefault="00EA6BFE" w:rsidP="00187D2B">
      <w:pPr>
        <w:pStyle w:val="FootnoteText"/>
        <w:rPr>
          <w:lang w:val="es-ES"/>
        </w:rPr>
      </w:pPr>
      <w:hyperlink r:id="rId1" w:history="1">
        <w:r w:rsidR="00187D2B">
          <w:rPr>
            <w:rStyle w:val="FootnoteReference"/>
            <w:lang w:val="es"/>
          </w:rPr>
          <w:footnoteRef/>
        </w:r>
        <w:r w:rsidR="00187D2B">
          <w:rPr>
            <w:rStyle w:val="ReportHyperlink"/>
            <w:lang w:val="es"/>
          </w:rPr>
          <w:t> </w:t>
        </w:r>
      </w:hyperlink>
      <w:r w:rsidR="00187D2B">
        <w:rPr>
          <w:lang w:val="es"/>
        </w:rPr>
        <w:t>OIT</w:t>
      </w:r>
      <w:r w:rsidR="00187D2B" w:rsidRPr="001901EA">
        <w:rPr>
          <w:i/>
          <w:iCs/>
          <w:lang w:val="es"/>
        </w:rPr>
        <w:t xml:space="preserve">, </w:t>
      </w:r>
      <w:hyperlink r:id="rId2" w:history="1">
        <w:r w:rsidR="00187D2B" w:rsidRPr="001901EA">
          <w:rPr>
            <w:rStyle w:val="ReportHyperlink"/>
            <w:i/>
            <w:iCs/>
            <w:lang w:val="es-ES"/>
          </w:rPr>
          <w:t>Orden del día de futuras reuniones de la Conferencia Internacional del Trabajo</w:t>
        </w:r>
      </w:hyperlink>
      <w:r w:rsidR="00056C95">
        <w:rPr>
          <w:lang w:val="es"/>
        </w:rPr>
        <w:t>,</w:t>
      </w:r>
      <w:r w:rsidR="00187D2B">
        <w:rPr>
          <w:lang w:val="es"/>
        </w:rPr>
        <w:t xml:space="preserve"> </w:t>
      </w:r>
      <w:r w:rsidR="00187D2B">
        <w:rPr>
          <w:rStyle w:val="ReportHyperlink"/>
          <w:color w:val="auto"/>
          <w:lang w:val="es"/>
        </w:rPr>
        <w:t>GB.343/INS/2</w:t>
      </w:r>
      <w:r w:rsidR="00565EEE">
        <w:rPr>
          <w:rStyle w:val="ReportHyperlink"/>
          <w:color w:val="auto"/>
          <w:lang w:val="es"/>
        </w:rPr>
        <w:t xml:space="preserve"> </w:t>
      </w:r>
      <w:r w:rsidR="00187D2B">
        <w:rPr>
          <w:rStyle w:val="ReportHyperlink"/>
          <w:color w:val="auto"/>
          <w:lang w:val="es"/>
        </w:rPr>
        <w:t>(Rev.</w:t>
      </w:r>
      <w:r w:rsidR="00565EEE">
        <w:rPr>
          <w:rStyle w:val="ReportHyperlink"/>
          <w:color w:val="auto"/>
          <w:lang w:val="es"/>
        </w:rPr>
        <w:t xml:space="preserve"> </w:t>
      </w:r>
      <w:r w:rsidR="00187D2B">
        <w:rPr>
          <w:rStyle w:val="ReportHyperlink"/>
          <w:color w:val="auto"/>
          <w:lang w:val="es"/>
        </w:rPr>
        <w:t>1)</w:t>
      </w:r>
      <w:r w:rsidR="00187D2B">
        <w:rPr>
          <w:rStyle w:val="ReportHyperlink"/>
          <w:lang w:val="es"/>
        </w:rPr>
        <w:t>,</w:t>
      </w:r>
      <w:r w:rsidR="00187D2B">
        <w:rPr>
          <w:lang w:val="es"/>
        </w:rPr>
        <w:t xml:space="preserve"> 2021, párr</w:t>
      </w:r>
      <w:r w:rsidR="00565EEE">
        <w:rPr>
          <w:lang w:val="es"/>
        </w:rPr>
        <w:t>.</w:t>
      </w:r>
      <w:r w:rsidR="00187D2B">
        <w:rPr>
          <w:lang w:val="es"/>
        </w:rPr>
        <w:t xml:space="preserve"> 19, y OIT, </w:t>
      </w:r>
      <w:hyperlink r:id="rId3" w:history="1">
        <w:r w:rsidR="00187D2B" w:rsidRPr="001901EA">
          <w:rPr>
            <w:rStyle w:val="ReportHyperlink"/>
            <w:i/>
            <w:iCs/>
            <w:lang w:val="es-ES"/>
          </w:rPr>
          <w:t>Actas de la 343.ª reunión del Consejo de Administración de la Oficina Internacional del Trabajo</w:t>
        </w:r>
      </w:hyperlink>
      <w:r w:rsidR="00187D2B">
        <w:rPr>
          <w:i/>
          <w:iCs/>
          <w:lang w:val="es"/>
        </w:rPr>
        <w:t>,</w:t>
      </w:r>
      <w:r w:rsidR="00187D2B">
        <w:rPr>
          <w:lang w:val="es"/>
        </w:rPr>
        <w:t xml:space="preserve"> GB.343/PV, 2021, párr</w:t>
      </w:r>
      <w:r w:rsidR="00565EEE">
        <w:rPr>
          <w:lang w:val="es"/>
        </w:rPr>
        <w:t>.</w:t>
      </w:r>
      <w:r w:rsidR="00187D2B">
        <w:rPr>
          <w:lang w:val="es"/>
        </w:rPr>
        <w:t xml:space="preserve"> 62, </w:t>
      </w:r>
      <w:r w:rsidR="00187D2B">
        <w:rPr>
          <w:i/>
          <w:iCs/>
          <w:lang w:val="es"/>
        </w:rPr>
        <w:t>c)</w:t>
      </w:r>
      <w:r w:rsidR="00187D2B">
        <w:rPr>
          <w:lang w:val="es"/>
        </w:rPr>
        <w:t>.</w:t>
      </w:r>
    </w:p>
  </w:footnote>
  <w:footnote w:id="2">
    <w:p w14:paraId="6D3D9A56" w14:textId="77777777" w:rsidR="00187D2B" w:rsidRPr="00EE4726" w:rsidRDefault="00187D2B" w:rsidP="00187D2B">
      <w:pPr>
        <w:pStyle w:val="FootnoteText"/>
        <w:rPr>
          <w:lang w:val="es-ES"/>
        </w:rPr>
      </w:pPr>
      <w:r>
        <w:rPr>
          <w:rStyle w:val="FootnoteReference"/>
          <w:lang w:val="es"/>
        </w:rPr>
        <w:footnoteRef/>
      </w:r>
      <w:r>
        <w:rPr>
          <w:lang w:val="es"/>
        </w:rPr>
        <w:t xml:space="preserve"> El GTT del MEN fue establecido por el Consejo de Administración en su 323.ª reunión (marzo de 2015) para contribuir «al objetivo general del mecanismo de examen de las normas que consiste en asegurar que la OIT cuente con un corpus claro, sólido y actualizado de normas internacionales del trabajo que responda a la evolución del mundo del trabajo, con el propósito de proteger a los trabajadores y </w:t>
      </w:r>
      <w:r w:rsidRPr="00565EEE">
        <w:rPr>
          <w:lang w:val="es"/>
        </w:rPr>
        <w:t>teniendo presentes las</w:t>
      </w:r>
      <w:r>
        <w:rPr>
          <w:lang w:val="es"/>
        </w:rPr>
        <w:t xml:space="preserve"> necesidades de las empresas sostenibles». En virtud del párrafo 9 de su mandato, el GTT del MEN examina «las normas internacionales del trabajo con miras a formular recomendaciones al Consejo de Administración sobre: </w:t>
      </w:r>
      <w:r w:rsidRPr="001901EA">
        <w:rPr>
          <w:i/>
          <w:iCs/>
          <w:lang w:val="es"/>
        </w:rPr>
        <w:t>a)</w:t>
      </w:r>
      <w:r>
        <w:rPr>
          <w:lang w:val="es"/>
        </w:rPr>
        <w:t xml:space="preserve"> la situación de las normas examinadas, incluidas las normas actualizadas, las que necesitan revisión, las que han sido superadas, y otras posibles clasificaciones; </w:t>
      </w:r>
      <w:r w:rsidRPr="001901EA">
        <w:rPr>
          <w:i/>
          <w:iCs/>
          <w:lang w:val="es"/>
        </w:rPr>
        <w:t>b)</w:t>
      </w:r>
      <w:r>
        <w:rPr>
          <w:lang w:val="es"/>
        </w:rPr>
        <w:t xml:space="preserve"> la identificación de lagunas en materia de cobertura, con inclusión de las que requieren la adopción de nuevas normas; </w:t>
      </w:r>
      <w:r w:rsidRPr="001901EA">
        <w:rPr>
          <w:i/>
          <w:iCs/>
          <w:lang w:val="es"/>
        </w:rPr>
        <w:t>c)</w:t>
      </w:r>
      <w:r>
        <w:rPr>
          <w:lang w:val="es"/>
        </w:rPr>
        <w:t xml:space="preserve"> medidas prácticas de seguimiento con plazos definidos, cuando proceda». Para más información, sírvase consultar el </w:t>
      </w:r>
      <w:hyperlink r:id="rId4" w:history="1">
        <w:r>
          <w:rPr>
            <w:rStyle w:val="ReportHyperlink"/>
            <w:lang w:val="es"/>
          </w:rPr>
          <w:t>sitio web</w:t>
        </w:r>
      </w:hyperlink>
      <w:r>
        <w:rPr>
          <w:lang w:val="es"/>
        </w:rPr>
        <w:t xml:space="preserve"> del GTT del MEN.</w:t>
      </w:r>
    </w:p>
  </w:footnote>
  <w:footnote w:id="3">
    <w:p w14:paraId="6F56C0B0" w14:textId="64FE5329" w:rsidR="00187D2B" w:rsidRPr="00EE4726" w:rsidRDefault="00187D2B" w:rsidP="00187D2B">
      <w:pPr>
        <w:pStyle w:val="FootnoteText"/>
        <w:rPr>
          <w:lang w:val="es-ES"/>
        </w:rPr>
      </w:pPr>
      <w:r>
        <w:rPr>
          <w:rStyle w:val="FootnoteReference"/>
          <w:lang w:val="es"/>
        </w:rPr>
        <w:footnoteRef/>
      </w:r>
      <w:r>
        <w:rPr>
          <w:lang w:val="es"/>
        </w:rPr>
        <w:t xml:space="preserve"> Véase OIT, </w:t>
      </w:r>
      <w:hyperlink r:id="rId5" w:history="1">
        <w:r w:rsidRPr="001901EA">
          <w:rPr>
            <w:rStyle w:val="ReportHyperlink"/>
            <w:i/>
            <w:iCs/>
            <w:lang w:val="es-ES"/>
          </w:rPr>
          <w:t>La iniciativa relativa a las normas: Informe de la cuarta reunión del Grupo de Trabajo tripartito del mecanismo de examen de las normas</w:t>
        </w:r>
      </w:hyperlink>
      <w:r>
        <w:rPr>
          <w:i/>
          <w:iCs/>
          <w:lang w:val="es"/>
        </w:rPr>
        <w:t xml:space="preserve">, </w:t>
      </w:r>
      <w:r>
        <w:rPr>
          <w:lang w:val="es"/>
        </w:rPr>
        <w:t>GB.334/LILS/3, 2018,</w:t>
      </w:r>
      <w:hyperlink r:id="rId6" w:history="1"/>
      <w:r>
        <w:rPr>
          <w:lang w:val="es"/>
        </w:rPr>
        <w:t xml:space="preserve"> y OIT, </w:t>
      </w:r>
      <w:hyperlink r:id="rId7" w:anchor="page=9" w:history="1">
        <w:r w:rsidRPr="001901EA">
          <w:rPr>
            <w:rStyle w:val="ReportHyperlink"/>
            <w:i/>
            <w:iCs/>
            <w:lang w:val="es-ES"/>
          </w:rPr>
          <w:t>Orden del día de la Conferencia Internacional del Trabajo</w:t>
        </w:r>
      </w:hyperlink>
      <w:r>
        <w:rPr>
          <w:lang w:val="es"/>
        </w:rPr>
        <w:t xml:space="preserve">, </w:t>
      </w:r>
      <w:r>
        <w:rPr>
          <w:rStyle w:val="ReportHyperlink"/>
          <w:color w:val="auto"/>
          <w:lang w:val="es"/>
        </w:rPr>
        <w:t>GB.334/INS/2/1</w:t>
      </w:r>
      <w:r>
        <w:rPr>
          <w:lang w:val="es"/>
        </w:rPr>
        <w:t>, 2018, párr</w:t>
      </w:r>
      <w:r w:rsidR="00565EEE">
        <w:rPr>
          <w:lang w:val="es"/>
        </w:rPr>
        <w:t>.</w:t>
      </w:r>
      <w:r>
        <w:rPr>
          <w:lang w:val="es"/>
        </w:rPr>
        <w:t> 22 y anexo II. Conviene recordar que el Consejo de Administración, en su 334.ª reunión (</w:t>
      </w:r>
      <w:r w:rsidRPr="00C01D64">
        <w:rPr>
          <w:lang w:val="es"/>
        </w:rPr>
        <w:t>octubre</w:t>
      </w:r>
      <w:r w:rsidR="00565EEE" w:rsidRPr="00C01D64">
        <w:rPr>
          <w:lang w:val="es"/>
        </w:rPr>
        <w:t>-noviembre</w:t>
      </w:r>
      <w:r>
        <w:rPr>
          <w:lang w:val="es"/>
        </w:rPr>
        <w:t xml:space="preserve"> de 2018), había decidido inscribir el punto sobre la derogación de los cuatro convenios en el orden del día de la 113.ª reunión de la Conferencia, prevista inicialmente para 2024. Debido a la pandemia de COVID-19, la 113.ª reunión se celebrará en 2025. En su 343.ª reunión (noviembre de 2021), el Consejo de Administración decidió que la discusión se mantuviera en 2024 y, por ende, inscribió el punto en el orden del día de la 112.ª reunión.</w:t>
      </w:r>
    </w:p>
  </w:footnote>
  <w:footnote w:id="4">
    <w:p w14:paraId="6E2B0C0E" w14:textId="77777777" w:rsidR="00187D2B" w:rsidRPr="00EE4726" w:rsidRDefault="00187D2B" w:rsidP="00187D2B">
      <w:pPr>
        <w:pStyle w:val="FootnoteText"/>
        <w:rPr>
          <w:lang w:val="es-ES"/>
        </w:rPr>
      </w:pPr>
      <w:r>
        <w:rPr>
          <w:rStyle w:val="FootnoteReference"/>
          <w:lang w:val="es"/>
        </w:rPr>
        <w:footnoteRef/>
      </w:r>
      <w:r>
        <w:rPr>
          <w:lang w:val="es"/>
        </w:rPr>
        <w:t xml:space="preserve"> Para más información sobre el significado, los efectos y el procedimiento de derogación, véase OIT, </w:t>
      </w:r>
      <w:hyperlink r:id="rId8" w:history="1">
        <w:r w:rsidRPr="001901EA">
          <w:rPr>
            <w:rStyle w:val="ReportHyperlink"/>
            <w:i/>
            <w:iCs/>
            <w:lang w:val="es-ES"/>
          </w:rPr>
          <w:t>Información actualizada sobre la situación relativa a la ratificación de los instrumentos de enmienda de 1986 y de 1997 a la Constitución de la Organización Internacional del Trabajo</w:t>
        </w:r>
      </w:hyperlink>
      <w:r>
        <w:rPr>
          <w:lang w:val="es"/>
        </w:rPr>
        <w:t xml:space="preserve">, </w:t>
      </w:r>
      <w:r>
        <w:rPr>
          <w:rStyle w:val="ReportHyperlink"/>
          <w:color w:val="auto"/>
          <w:lang w:val="es"/>
        </w:rPr>
        <w:t xml:space="preserve">GB.325/LILS/INF/1, 2015, </w:t>
      </w:r>
      <w:r>
        <w:rPr>
          <w:lang w:val="es"/>
        </w:rPr>
        <w:t xml:space="preserve">y OIT, </w:t>
      </w:r>
      <w:hyperlink r:id="rId9" w:anchor="page=22" w:history="1">
        <w:r w:rsidRPr="001901EA">
          <w:rPr>
            <w:rStyle w:val="ReportHyperlink"/>
            <w:i/>
            <w:iCs/>
            <w:lang w:val="es-ES"/>
          </w:rPr>
          <w:t>La iniciativa relativa a las normas: informe de la quinta reunión del Grupo de Trabajo tripartito del mecanismo de examen de las normas</w:t>
        </w:r>
      </w:hyperlink>
      <w:r>
        <w:rPr>
          <w:i/>
          <w:iCs/>
          <w:lang w:val="es"/>
        </w:rPr>
        <w:t xml:space="preserve">, </w:t>
      </w:r>
      <w:hyperlink r:id="rId10" w:anchor="page=22" w:history="1">
        <w:r>
          <w:rPr>
            <w:rStyle w:val="ReportHyperlink"/>
            <w:color w:val="auto"/>
            <w:lang w:val="es"/>
          </w:rPr>
          <w:t>GB.337/LILS/1</w:t>
        </w:r>
      </w:hyperlink>
      <w:r>
        <w:rPr>
          <w:lang w:val="es"/>
        </w:rPr>
        <w:t xml:space="preserve">, apéndice, anexo II. </w:t>
      </w:r>
    </w:p>
  </w:footnote>
  <w:footnote w:id="5">
    <w:p w14:paraId="60DDAC6F" w14:textId="77777777" w:rsidR="0078524E" w:rsidRPr="00EE4726" w:rsidRDefault="0078524E" w:rsidP="0078524E">
      <w:pPr>
        <w:pStyle w:val="FootnoteText"/>
        <w:rPr>
          <w:lang w:val="es-ES"/>
        </w:rPr>
      </w:pPr>
      <w:r>
        <w:rPr>
          <w:rStyle w:val="FootnoteReference"/>
          <w:lang w:val="es"/>
        </w:rPr>
        <w:footnoteRef/>
      </w:r>
      <w:r>
        <w:rPr>
          <w:lang w:val="es"/>
        </w:rPr>
        <w:t xml:space="preserve"> OIT, </w:t>
      </w:r>
      <w:hyperlink r:id="rId11" w:history="1">
        <w:r w:rsidRPr="002E2D99">
          <w:rPr>
            <w:rStyle w:val="ReportHyperlink"/>
            <w:lang w:val="es-ES"/>
          </w:rPr>
          <w:t>Resolución sobre la inclusión de un entorno de trabajo seguro y saludable en el marco de la OIT relativo a los principios y derechos fundamentales en el trabajo</w:t>
        </w:r>
      </w:hyperlink>
      <w:r>
        <w:rPr>
          <w:rStyle w:val="ReportHyperlink"/>
          <w:lang w:val="es"/>
        </w:rPr>
        <w:t>,</w:t>
      </w:r>
      <w:r>
        <w:rPr>
          <w:lang w:val="es"/>
        </w:rPr>
        <w:t xml:space="preserve"> Conferencia Internacional del Trabajo, 110.ª reunión, 2022.</w:t>
      </w:r>
    </w:p>
  </w:footnote>
  <w:footnote w:id="6">
    <w:p w14:paraId="332D0401" w14:textId="77777777" w:rsidR="0078524E" w:rsidRPr="00EE4726" w:rsidRDefault="0078524E" w:rsidP="0078524E">
      <w:pPr>
        <w:pStyle w:val="FootnoteText"/>
        <w:rPr>
          <w:lang w:val="es-ES"/>
        </w:rPr>
      </w:pPr>
      <w:r>
        <w:rPr>
          <w:rStyle w:val="FootnoteReference"/>
          <w:lang w:val="es"/>
        </w:rPr>
        <w:footnoteRef/>
      </w:r>
      <w:r>
        <w:rPr>
          <w:lang w:val="es"/>
        </w:rPr>
        <w:t xml:space="preserve"> Si desea obtener información más detallada, véase OIT, </w:t>
      </w:r>
      <w:hyperlink r:id="rId12" w:history="1">
        <w:r w:rsidRPr="00C62840">
          <w:rPr>
            <w:rStyle w:val="ReportHyperlink"/>
            <w:lang w:val="es-ES"/>
          </w:rPr>
          <w:t>Nota técnica 1.1: Instrumentos sobre seguridad y salud en la minería</w:t>
        </w:r>
      </w:hyperlink>
      <w:r>
        <w:rPr>
          <w:lang w:val="es"/>
        </w:rPr>
        <w:t>, cuarta reunión del GTT del MEN, 2018.</w:t>
      </w:r>
    </w:p>
  </w:footnote>
  <w:footnote w:id="7">
    <w:p w14:paraId="60FF607F" w14:textId="77777777" w:rsidR="0078524E" w:rsidRPr="00EE4726" w:rsidRDefault="0078524E" w:rsidP="0078524E">
      <w:pPr>
        <w:pStyle w:val="FootnoteText"/>
        <w:rPr>
          <w:lang w:val="es-ES"/>
        </w:rPr>
      </w:pPr>
      <w:r>
        <w:rPr>
          <w:rStyle w:val="FootnoteReference"/>
          <w:lang w:val="es"/>
        </w:rPr>
        <w:footnoteRef/>
      </w:r>
      <w:r>
        <w:rPr>
          <w:lang w:val="es"/>
        </w:rPr>
        <w:t xml:space="preserve"> En su 268.ª reunión (marzo de 1997), el Consejo de Administración clasificó el Convenio núm. 62 como instrumento superado e invitó a los Estados parte a ratificar el Convenio núm. 167. El GTT del MEN examinó por primera vez el Convenio núm. 62 en su segunda reunión, en 2016, y solicitó un seguimiento por parte de la Oficina con los Estados Miembros obligados por él, alentándolos a ratificar el Convenio núm. 167, lo cual implicaría la denuncia automática del Convenio núm. 62. El Convenio núm. 62 fue examinado de nuevo por el GTT del MEN en su cuarta reunión, en 2018, a raíz de su seguimiento. Si desea obtener información más detallada, véase OIT, </w:t>
      </w:r>
      <w:hyperlink r:id="rId13" w:history="1">
        <w:r w:rsidRPr="00C654E2">
          <w:rPr>
            <w:rStyle w:val="ReportHyperlink"/>
            <w:lang w:val="es-ES"/>
          </w:rPr>
          <w:t>Nota técnica 1.2: Instrumentos sobre seguridad y salud en la construcción</w:t>
        </w:r>
      </w:hyperlink>
      <w:r>
        <w:rPr>
          <w:lang w:val="es"/>
        </w:rPr>
        <w:t>, cuarta reunión del GTT del MEN, 2018.</w:t>
      </w:r>
    </w:p>
  </w:footnote>
  <w:footnote w:id="8">
    <w:p w14:paraId="4025C293" w14:textId="77777777" w:rsidR="0078524E" w:rsidRPr="00EE4726" w:rsidRDefault="0078524E" w:rsidP="0078524E">
      <w:pPr>
        <w:pStyle w:val="FootnoteText"/>
        <w:rPr>
          <w:lang w:val="es-ES"/>
        </w:rPr>
      </w:pPr>
      <w:r>
        <w:rPr>
          <w:rStyle w:val="FootnoteReference"/>
          <w:lang w:val="es"/>
        </w:rPr>
        <w:footnoteRef/>
      </w:r>
      <w:r>
        <w:rPr>
          <w:lang w:val="es"/>
        </w:rPr>
        <w:t> En su 268.ª reunión (marzo de 1997), el Consejo de Administración clasificó el Convenio núm. 63 como instrumento superado e invitó a los Estados parte a ratificar el Convenio núm. 160. El GTT del MEN examinó por primera vez el Convenio núm. 63 en su segunda reunión, en 2016, y solicitó un seguimiento por parte de la Oficina con los Estados Miembros obligados por él, alentándolos a ratificar el Convenio núm. 160, lo cual implicaría la denuncia automática del Convenio núm. 63. El Convenio núm. 63 fue examinado de nuevo por el GTT del MEN en su cuarta reunión, en 2018, a raíz de su seguimiento. Si desea obtener información más detallada, véase OIT</w:t>
      </w:r>
      <w:r w:rsidRPr="00136E09">
        <w:rPr>
          <w:lang w:val="es"/>
        </w:rPr>
        <w:t xml:space="preserve">, </w:t>
      </w:r>
      <w:hyperlink r:id="rId14" w:history="1">
        <w:r w:rsidRPr="00136E09">
          <w:rPr>
            <w:rStyle w:val="ReportHyperlink"/>
            <w:lang w:val="es-ES"/>
          </w:rPr>
          <w:t>Nota técnica 3.1: Instrumentos sobre estadísticas del trabajo</w:t>
        </w:r>
      </w:hyperlink>
      <w:r>
        <w:rPr>
          <w:lang w:val="es"/>
        </w:rPr>
        <w:t>, cuarta reunión del GTT del MEN, 2018.</w:t>
      </w:r>
    </w:p>
  </w:footnote>
  <w:footnote w:id="9">
    <w:p w14:paraId="03A66476" w14:textId="77777777" w:rsidR="0078524E" w:rsidRPr="00EE4726" w:rsidRDefault="0078524E" w:rsidP="0078524E">
      <w:pPr>
        <w:pStyle w:val="FootnoteText"/>
        <w:rPr>
          <w:lang w:val="es-ES"/>
        </w:rPr>
      </w:pPr>
      <w:r>
        <w:rPr>
          <w:rStyle w:val="FootnoteReference"/>
          <w:lang w:val="es"/>
        </w:rPr>
        <w:footnoteRef/>
      </w:r>
      <w:r>
        <w:rPr>
          <w:lang w:val="es"/>
        </w:rPr>
        <w:t xml:space="preserve"> Si desea obtener información más detallada, véase OIT, </w:t>
      </w:r>
      <w:hyperlink r:id="rId15" w:history="1">
        <w:r w:rsidRPr="00C01D64">
          <w:rPr>
            <w:rStyle w:val="ReportHyperlink"/>
            <w:lang w:val="es-ES"/>
          </w:rPr>
          <w:t>Nota técnica 2.1: Instrumento sobre la inspección del trabajo en los territorios no metropolitanos</w:t>
        </w:r>
      </w:hyperlink>
      <w:r>
        <w:rPr>
          <w:lang w:val="es"/>
        </w:rPr>
        <w:t>, cuarta reunión del GTT del MEN,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153DDA" w:rsidRPr="00295C2C" w14:paraId="668658C4" w14:textId="77777777" w:rsidTr="00153DDA">
      <w:tc>
        <w:tcPr>
          <w:tcW w:w="1134" w:type="dxa"/>
        </w:tcPr>
        <w:p w14:paraId="3FA7CC8A" w14:textId="77777777" w:rsidR="00153DDA" w:rsidRPr="007F5D20" w:rsidRDefault="00153DDA"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66567949" w14:textId="3493F05B" w:rsidR="003246C3" w:rsidRPr="003246C3" w:rsidRDefault="003246C3" w:rsidP="00181192">
          <w:pPr>
            <w:pStyle w:val="ReportHeaderChapterTitleevenpage"/>
            <w:rPr>
              <w:b/>
              <w:bCs/>
            </w:rPr>
          </w:pPr>
          <w:r w:rsidRPr="003246C3">
            <w:rPr>
              <w:b/>
              <w:bCs/>
            </w:rPr>
            <w:t>Derogación de cuatro convenios internacionales del trabajo</w:t>
          </w:r>
        </w:p>
        <w:p w14:paraId="0299EF84" w14:textId="42FDDEE2" w:rsidR="00153DDA" w:rsidRPr="00D20E6F" w:rsidRDefault="006B56E1" w:rsidP="00181192">
          <w:pPr>
            <w:pStyle w:val="ReportHeaderChapterTitleevenpage"/>
          </w:pPr>
          <w:fldSimple w:instr=" STYLEREF  &quot;Report Chapter&quot;  \* MERGEFORMAT ">
            <w:r w:rsidR="00EA6BFE">
              <w:rPr>
                <w:noProof/>
              </w:rPr>
              <w:t>Estatus de los convenios internacionales del trabajo propuestos para derogación</w:t>
            </w:r>
          </w:fldSimple>
        </w:p>
      </w:tc>
    </w:tr>
  </w:tbl>
  <w:p w14:paraId="4B0851CA" w14:textId="77777777" w:rsidR="00153DDA" w:rsidRDefault="00153DDA"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153DDA" w:rsidRPr="009968B6" w14:paraId="01E1EC97" w14:textId="77777777" w:rsidTr="00153DDA">
      <w:tc>
        <w:tcPr>
          <w:tcW w:w="8504" w:type="dxa"/>
        </w:tcPr>
        <w:p w14:paraId="5B526807" w14:textId="77B885C6" w:rsidR="00153DDA" w:rsidRDefault="003246C3" w:rsidP="00181192">
          <w:pPr>
            <w:pStyle w:val="ReportHeaderReportTitleoddpage"/>
          </w:pPr>
          <w:r w:rsidRPr="003246C3">
            <w:t>Derogación de cuatro convenios internacionales del trabajo</w:t>
          </w:r>
        </w:p>
        <w:p w14:paraId="036DADDD" w14:textId="45C5535E" w:rsidR="00153DDA" w:rsidRPr="007F5D20" w:rsidRDefault="00EA6BFE" w:rsidP="00181192">
          <w:pPr>
            <w:pStyle w:val="ReportHeaderChapterTitleoddpage"/>
          </w:pPr>
          <w:r>
            <w:fldChar w:fldCharType="begin"/>
          </w:r>
          <w:r>
            <w:instrText xml:space="preserve"> STYLEREF  "Report Chapter"  \* MERGEFORMAT </w:instrText>
          </w:r>
          <w:r>
            <w:fldChar w:fldCharType="separate"/>
          </w:r>
          <w:r>
            <w:rPr>
              <w:noProof/>
            </w:rPr>
            <w:t>Estatus de los convenios internacionales del trabajo propuestos para derogación</w:t>
          </w:r>
          <w:r>
            <w:rPr>
              <w:noProof/>
            </w:rPr>
            <w:fldChar w:fldCharType="end"/>
          </w:r>
        </w:p>
      </w:tc>
      <w:tc>
        <w:tcPr>
          <w:tcW w:w="1134" w:type="dxa"/>
        </w:tcPr>
        <w:p w14:paraId="21B3982E" w14:textId="77777777" w:rsidR="00153DDA" w:rsidRPr="00D20E6F" w:rsidRDefault="00153DDA" w:rsidP="002B76AE">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533E0218" w14:textId="77777777" w:rsidR="00153DDA" w:rsidRPr="009E5F34" w:rsidRDefault="00153DDA" w:rsidP="003A5000">
    <w:pPr>
      <w:pStyle w:val="ReportPa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1" w:type="dxa"/>
      <w:tblLayout w:type="fixed"/>
      <w:tblCellMar>
        <w:left w:w="0" w:type="dxa"/>
        <w:right w:w="0" w:type="dxa"/>
      </w:tblCellMar>
      <w:tblLook w:val="04A0" w:firstRow="1" w:lastRow="0" w:firstColumn="1" w:lastColumn="0" w:noHBand="0" w:noVBand="1"/>
      <w:tblCaption w:val="SEC"/>
    </w:tblPr>
    <w:tblGrid>
      <w:gridCol w:w="8220"/>
      <w:gridCol w:w="2551"/>
    </w:tblGrid>
    <w:tr w:rsidR="00153DDA" w:rsidRPr="005A64D3" w14:paraId="0EC2FB6C" w14:textId="77777777" w:rsidTr="0013723E">
      <w:trPr>
        <w:trHeight w:val="113"/>
      </w:trPr>
      <w:tc>
        <w:tcPr>
          <w:tcW w:w="8220" w:type="dxa"/>
        </w:tcPr>
        <w:p w14:paraId="03C6A065" w14:textId="77777777" w:rsidR="00153DDA" w:rsidRPr="005A64D3" w:rsidRDefault="00153DDA" w:rsidP="003A5000">
          <w:pPr>
            <w:pStyle w:val="ReportPara"/>
          </w:pPr>
        </w:p>
      </w:tc>
      <w:tc>
        <w:tcPr>
          <w:tcW w:w="2551" w:type="dxa"/>
          <w:shd w:val="clear" w:color="auto" w:fill="auto"/>
          <w:vAlign w:val="bottom"/>
        </w:tcPr>
        <w:p w14:paraId="7603E707" w14:textId="77777777" w:rsidR="00153DDA" w:rsidRPr="005A64D3" w:rsidRDefault="00153DDA" w:rsidP="003A5000">
          <w:pPr>
            <w:pStyle w:val="ReportPara"/>
            <w:rPr>
              <w:b/>
            </w:rPr>
          </w:pPr>
        </w:p>
      </w:tc>
    </w:tr>
    <w:tr w:rsidR="00E12688" w:rsidRPr="0053754B" w14:paraId="3991A444" w14:textId="77777777" w:rsidTr="0013723E">
      <w:trPr>
        <w:trHeight w:val="374"/>
      </w:trPr>
      <w:tc>
        <w:tcPr>
          <w:tcW w:w="8220" w:type="dxa"/>
        </w:tcPr>
        <w:p w14:paraId="693405B8" w14:textId="4B9C4469" w:rsidR="00E12688" w:rsidRPr="005A64D3" w:rsidRDefault="00BE214E" w:rsidP="00BE214E">
          <w:pPr>
            <w:pStyle w:val="ILCReportSessionLabel"/>
          </w:pPr>
          <w:r w:rsidRPr="00BE214E">
            <w:t>Conferencia Internacional del Trabajo</w:t>
          </w:r>
          <w:r w:rsidR="00E12688" w:rsidRPr="00C60F6F">
            <w:rPr>
              <w:lang w:val="de-DE"/>
            </w:rPr>
            <w:t xml:space="preserve">, </w:t>
          </w:r>
          <w:r w:rsidR="006576AE">
            <w:t>11</w:t>
          </w:r>
          <w:r w:rsidR="00764B03">
            <w:t>2</w:t>
          </w:r>
          <w:r w:rsidR="006576AE">
            <w:t>.ª reunión, 202</w:t>
          </w:r>
          <w:r w:rsidR="00764B03">
            <w:t>4</w:t>
          </w:r>
        </w:p>
      </w:tc>
      <w:tc>
        <w:tcPr>
          <w:tcW w:w="2551" w:type="dxa"/>
          <w:shd w:val="clear" w:color="auto" w:fill="1E2DBE"/>
        </w:tcPr>
        <w:p w14:paraId="0BCC597C" w14:textId="567F8F8B" w:rsidR="00E12688" w:rsidRPr="00E12688" w:rsidRDefault="00D733D7" w:rsidP="00D733D7">
          <w:pPr>
            <w:pStyle w:val="ReportAcronym"/>
          </w:pPr>
          <w:r w:rsidRPr="00D733D7">
            <w:rPr>
              <w:lang w:val="en-GB"/>
            </w:rPr>
            <w:t>ILC.</w:t>
          </w:r>
          <w:r w:rsidR="006576AE">
            <w:rPr>
              <w:lang w:val="en-GB"/>
            </w:rPr>
            <w:t>11</w:t>
          </w:r>
          <w:r w:rsidR="00764B03">
            <w:rPr>
              <w:lang w:val="en-GB"/>
            </w:rPr>
            <w:t>2</w:t>
          </w:r>
          <w:r w:rsidR="006576AE">
            <w:rPr>
              <w:lang w:val="en-GB"/>
            </w:rPr>
            <w:t>/VII(1)</w:t>
          </w:r>
        </w:p>
      </w:tc>
    </w:tr>
  </w:tbl>
  <w:p w14:paraId="2357A3B7" w14:textId="77777777" w:rsidR="00153DDA" w:rsidRPr="0053754B" w:rsidRDefault="00153DDA" w:rsidP="003A5000">
    <w:pPr>
      <w:pStyle w:val="ReportPar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3176" w14:textId="77777777" w:rsidR="00153DDA" w:rsidRPr="0053754B" w:rsidRDefault="00153DDA" w:rsidP="003A5000">
    <w:pPr>
      <w:pStyle w:val="ReportPar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153DDA" w:rsidRPr="009968B6" w14:paraId="1E54AE72" w14:textId="77777777" w:rsidTr="00153DDA">
      <w:tc>
        <w:tcPr>
          <w:tcW w:w="8504" w:type="dxa"/>
        </w:tcPr>
        <w:p w14:paraId="23E67775" w14:textId="4BEE76A2" w:rsidR="00153DDA" w:rsidRDefault="00764B03" w:rsidP="005B1D1D">
          <w:pPr>
            <w:pStyle w:val="ReportHeaderReportTitleoddpage"/>
          </w:pPr>
          <w:r w:rsidRPr="00764B03">
            <w:t>Derogación de cuatro convenios internacionales del trabajo</w:t>
          </w:r>
        </w:p>
        <w:p w14:paraId="5B818BE2" w14:textId="77777777" w:rsidR="00153DDA" w:rsidRPr="007F5D20" w:rsidRDefault="00153DDA" w:rsidP="005B1D1D">
          <w:pPr>
            <w:pStyle w:val="ReportHeaderChapterTitleoddpage"/>
          </w:pPr>
        </w:p>
      </w:tc>
      <w:tc>
        <w:tcPr>
          <w:tcW w:w="1134" w:type="dxa"/>
        </w:tcPr>
        <w:p w14:paraId="13E048C7" w14:textId="77777777" w:rsidR="00153DDA" w:rsidRPr="00D20E6F" w:rsidRDefault="00153DDA" w:rsidP="003A50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31B50F13" w14:textId="77777777" w:rsidR="00153DDA" w:rsidRPr="0053754B" w:rsidRDefault="00153DDA" w:rsidP="003A5000">
    <w:pPr>
      <w:pStyle w:val="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5FB3"/>
    <w:multiLevelType w:val="multilevel"/>
    <w:tmpl w:val="BA9EFA0A"/>
    <w:styleLink w:val="Table-Box-Graphictitle"/>
    <w:lvl w:ilvl="0">
      <w:start w:val="1"/>
      <w:numFmt w:val="bullet"/>
      <w:pStyle w:val="ReportTableTitleS"/>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 w15:restartNumberingAfterBreak="0">
    <w:nsid w:val="06105001"/>
    <w:multiLevelType w:val="multilevel"/>
    <w:tmpl w:val="6BCA8DDA"/>
    <w:numStyleLink w:val="Bulletlists"/>
  </w:abstractNum>
  <w:abstractNum w:abstractNumId="2" w15:restartNumberingAfterBreak="0">
    <w:nsid w:val="07654C4C"/>
    <w:multiLevelType w:val="multilevel"/>
    <w:tmpl w:val="2334D5F0"/>
    <w:styleLink w:val="Appendix"/>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A13410"/>
    <w:multiLevelType w:val="multilevel"/>
    <w:tmpl w:val="9AA63D1C"/>
    <w:styleLink w:val="Appendixbulletlis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5F1B64"/>
    <w:multiLevelType w:val="multilevel"/>
    <w:tmpl w:val="87BA8674"/>
    <w:numStyleLink w:val="ParaNumletterlist"/>
  </w:abstractNum>
  <w:abstractNum w:abstractNumId="5" w15:restartNumberingAfterBreak="0">
    <w:nsid w:val="15B97E65"/>
    <w:multiLevelType w:val="multilevel"/>
    <w:tmpl w:val="1F0C92F4"/>
    <w:styleLink w:val="Boxlist"/>
    <w:lvl w:ilvl="0">
      <w:start w:val="1"/>
      <w:numFmt w:val="decimal"/>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S"/>
      <w:lvlText w:val="%2)"/>
      <w:lvlJc w:val="left"/>
      <w:pPr>
        <w:ind w:left="680" w:hanging="340"/>
      </w:pPr>
      <w:rPr>
        <w:rFonts w:ascii="Noto Sans" w:hAnsi="Noto Sans" w:cs="Noto Sans" w:hint="default"/>
        <w:b w:val="0"/>
        <w:bCs w:val="0"/>
        <w:i/>
        <w:iCs/>
        <w:sz w:val="18"/>
        <w:szCs w:val="18"/>
      </w:rPr>
    </w:lvl>
    <w:lvl w:ilvl="2">
      <w:start w:val="1"/>
      <w:numFmt w:val="lowerRoman"/>
      <w:lvlText w:val="%3)"/>
      <w:lvlJc w:val="left"/>
      <w:pPr>
        <w:ind w:left="1021" w:hanging="341"/>
      </w:pPr>
      <w:rPr>
        <w:rFonts w:hint="default"/>
        <w:sz w:val="18"/>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16F15BE9"/>
    <w:multiLevelType w:val="multilevel"/>
    <w:tmpl w:val="A9BE7AA6"/>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19"/>
        <w:szCs w:val="19"/>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7" w15:restartNumberingAfterBreak="0">
    <w:nsid w:val="18E700DF"/>
    <w:multiLevelType w:val="multilevel"/>
    <w:tmpl w:val="C6AE82E6"/>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021" w:hanging="454"/>
      </w:pPr>
      <w:rPr>
        <w:rFonts w:hint="default"/>
      </w:rPr>
    </w:lvl>
    <w:lvl w:ilvl="2">
      <w:start w:val="1"/>
      <w:numFmt w:val="lowerRoman"/>
      <w:lvlText w:val="(%3)"/>
      <w:lvlJc w:val="righ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C9E7514"/>
    <w:multiLevelType w:val="multilevel"/>
    <w:tmpl w:val="6BCA8DDA"/>
    <w:styleLink w:val="Bulletlis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DF01AC6"/>
    <w:multiLevelType w:val="multilevel"/>
    <w:tmpl w:val="E07E03F0"/>
    <w:lvl w:ilvl="0">
      <w:start w:val="1"/>
      <w:numFmt w:val="bullet"/>
      <w:pStyle w:val="ReportIndentblackbulletlist1Appendix"/>
      <w:lvlText w:val=""/>
      <w:lvlJc w:val="left"/>
      <w:pPr>
        <w:ind w:left="794" w:hanging="227"/>
      </w:pPr>
      <w:rPr>
        <w:rFonts w:ascii="Symbol" w:hAnsi="Symbol" w:cs="Times New Roman"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6AA5A76"/>
    <w:multiLevelType w:val="multilevel"/>
    <w:tmpl w:val="F836D776"/>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21" w:hanging="454"/>
      </w:pPr>
      <w:rPr>
        <w:rFonts w:hint="default"/>
      </w:rPr>
    </w:lvl>
    <w:lvl w:ilvl="2">
      <w:start w:val="1"/>
      <w:numFmt w:val="lowerRoman"/>
      <w:lvlText w:val="(%3)"/>
      <w:lvlJc w:val="lef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BCC1C2A"/>
    <w:multiLevelType w:val="multilevel"/>
    <w:tmpl w:val="671E4172"/>
    <w:styleLink w:val="Chapters"/>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CDF4F4B"/>
    <w:multiLevelType w:val="multilevel"/>
    <w:tmpl w:val="31BAFEFC"/>
    <w:numStyleLink w:val="Reporttitle"/>
  </w:abstractNum>
  <w:abstractNum w:abstractNumId="13" w15:restartNumberingAfterBreak="0">
    <w:nsid w:val="4D324930"/>
    <w:multiLevelType w:val="multilevel"/>
    <w:tmpl w:val="BA9EFA0A"/>
    <w:numStyleLink w:val="Table-Box-Graphictitle"/>
  </w:abstractNum>
  <w:abstractNum w:abstractNumId="14" w15:restartNumberingAfterBreak="0">
    <w:nsid w:val="54191733"/>
    <w:multiLevelType w:val="multilevel"/>
    <w:tmpl w:val="918AE082"/>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5" w15:restartNumberingAfterBreak="0">
    <w:nsid w:val="557777BF"/>
    <w:multiLevelType w:val="multilevel"/>
    <w:tmpl w:val="A5F661DA"/>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lvlText w:val="(%2)"/>
      <w:lvlJc w:val="left"/>
      <w:pPr>
        <w:ind w:left="680" w:hanging="340"/>
      </w:pPr>
      <w:rPr>
        <w:rFonts w:hint="default"/>
      </w:rPr>
    </w:lvl>
    <w:lvl w:ilvl="2">
      <w:start w:val="1"/>
      <w:numFmt w:val="lowerRoman"/>
      <w:lvlText w:val="(%3)"/>
      <w:lvlJc w:val="left"/>
      <w:pPr>
        <w:ind w:left="1134" w:hanging="454"/>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56850784"/>
    <w:multiLevelType w:val="multilevel"/>
    <w:tmpl w:val="BA9EFA0A"/>
    <w:numStyleLink w:val="Table-Box-Graphictitle"/>
  </w:abstractNum>
  <w:abstractNum w:abstractNumId="17" w15:restartNumberingAfterBreak="0">
    <w:nsid w:val="571F13F7"/>
    <w:multiLevelType w:val="multilevel"/>
    <w:tmpl w:val="87BA8674"/>
    <w:numStyleLink w:val="ParaNumletterlist"/>
  </w:abstractNum>
  <w:abstractNum w:abstractNumId="18" w15:restartNumberingAfterBreak="0">
    <w:nsid w:val="5AB9283C"/>
    <w:multiLevelType w:val="multilevel"/>
    <w:tmpl w:val="1F0C92F4"/>
    <w:numStyleLink w:val="Boxlist"/>
  </w:abstractNum>
  <w:abstractNum w:abstractNumId="19" w15:restartNumberingAfterBreak="0">
    <w:nsid w:val="670A33D6"/>
    <w:multiLevelType w:val="multilevel"/>
    <w:tmpl w:val="31BAFEFC"/>
    <w:styleLink w:val="Reporttitle"/>
    <w:lvl w:ilvl="0">
      <w:start w:val="1"/>
      <w:numFmt w:val="bullet"/>
      <w:pStyle w:val="ReportTitle0"/>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8B708A2"/>
    <w:multiLevelType w:val="multilevel"/>
    <w:tmpl w:val="671E4172"/>
    <w:numStyleLink w:val="Chapters"/>
  </w:abstractNum>
  <w:abstractNum w:abstractNumId="21" w15:restartNumberingAfterBreak="0">
    <w:nsid w:val="71A21F54"/>
    <w:multiLevelType w:val="multilevel"/>
    <w:tmpl w:val="BA9EFA0A"/>
    <w:numStyleLink w:val="Table-Box-Graphictitle"/>
  </w:abstractNum>
  <w:abstractNum w:abstractNumId="22" w15:restartNumberingAfterBreak="0">
    <w:nsid w:val="757422D0"/>
    <w:multiLevelType w:val="multilevel"/>
    <w:tmpl w:val="BA9EFA0A"/>
    <w:numStyleLink w:val="Table-Box-Graphictitle"/>
  </w:abstractNum>
  <w:abstractNum w:abstractNumId="23" w15:restartNumberingAfterBreak="0">
    <w:nsid w:val="7D51534D"/>
    <w:multiLevelType w:val="multilevel"/>
    <w:tmpl w:val="D0FE5344"/>
    <w:lvl w:ilvl="0">
      <w:start w:val="1"/>
      <w:numFmt w:val="bullet"/>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4" w15:restartNumberingAfterBreak="0">
    <w:nsid w:val="7DDD57C4"/>
    <w:multiLevelType w:val="multilevel"/>
    <w:tmpl w:val="D31EC3FC"/>
    <w:lvl w:ilvl="0">
      <w:start w:val="1"/>
      <w:numFmt w:val="bullet"/>
      <w:pStyle w:val="ReportIndentblue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EC35A92"/>
    <w:multiLevelType w:val="multilevel"/>
    <w:tmpl w:val="87BA8674"/>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S"/>
      <w:lvlText w:val="%2)"/>
      <w:lvlJc w:val="left"/>
      <w:pPr>
        <w:ind w:left="1077" w:hanging="510"/>
      </w:pPr>
      <w:rPr>
        <w:rFonts w:ascii="Noto Sans" w:hAnsi="Noto Sans" w:cs="Noto Sans" w:hint="default"/>
        <w:b w:val="0"/>
        <w:bCs w:val="0"/>
        <w:i/>
        <w:iCs/>
        <w:sz w:val="20"/>
        <w:szCs w:val="20"/>
      </w:rPr>
    </w:lvl>
    <w:lvl w:ilvl="2">
      <w:start w:val="1"/>
      <w:numFmt w:val="lowerRoman"/>
      <w:pStyle w:val="ReportIndentletterlist2S"/>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5"/>
  </w:num>
  <w:num w:numId="2">
    <w:abstractNumId w:val="14"/>
  </w:num>
  <w:num w:numId="3">
    <w:abstractNumId w:val="14"/>
  </w:num>
  <w:num w:numId="4">
    <w:abstractNumId w:val="15"/>
  </w:num>
  <w:num w:numId="5">
    <w:abstractNumId w:val="6"/>
  </w:num>
  <w:num w:numId="6">
    <w:abstractNumId w:val="7"/>
  </w:num>
  <w:num w:numId="7">
    <w:abstractNumId w:val="12"/>
  </w:num>
  <w:num w:numId="8">
    <w:abstractNumId w:val="25"/>
  </w:num>
  <w:num w:numId="9">
    <w:abstractNumId w:val="19"/>
  </w:num>
  <w:num w:numId="10">
    <w:abstractNumId w:val="11"/>
  </w:num>
  <w:num w:numId="11">
    <w:abstractNumId w:val="20"/>
    <w:lvlOverride w:ilvl="0">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Override>
  </w:num>
  <w:num w:numId="12">
    <w:abstractNumId w:val="10"/>
  </w:num>
  <w:num w:numId="13">
    <w:abstractNumId w:val="23"/>
  </w:num>
  <w:num w:numId="14">
    <w:abstractNumId w:val="0"/>
  </w:num>
  <w:num w:numId="15">
    <w:abstractNumId w:val="8"/>
  </w:num>
  <w:num w:numId="16">
    <w:abstractNumId w:val="16"/>
  </w:num>
  <w:num w:numId="17">
    <w:abstractNumId w:val="22"/>
  </w:num>
  <w:num w:numId="18">
    <w:abstractNumId w:val="2"/>
  </w:num>
  <w:num w:numId="19">
    <w:abstractNumId w:val="3"/>
  </w:num>
  <w:num w:numId="20">
    <w:abstractNumId w:val="9"/>
  </w:num>
  <w:num w:numId="21">
    <w:abstractNumId w:val="24"/>
  </w:num>
  <w:num w:numId="22">
    <w:abstractNumId w:val="1"/>
  </w:num>
  <w:num w:numId="23">
    <w:abstractNumId w:val="5"/>
  </w:num>
  <w:num w:numId="24">
    <w:abstractNumId w:val="4"/>
  </w:num>
  <w:num w:numId="25">
    <w:abstractNumId w:val="17"/>
  </w:num>
  <w:num w:numId="26">
    <w:abstractNumId w:val="18"/>
  </w:num>
  <w:num w:numId="27">
    <w:abstractNumId w:val="13"/>
  </w:num>
  <w:num w:numId="28">
    <w:abstractNumId w:val="21"/>
  </w:num>
  <w:num w:numId="29">
    <w:abstractNumId w:val="10"/>
  </w:num>
  <w:num w:numId="30">
    <w:abstractNumId w:val="20"/>
    <w:lvlOverride w:ilvl="0">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defaultTabStop w:val="709"/>
  <w:hyphenationZone w:val="425"/>
  <w:clickAndTypeStyle w:val="NormalBody"/>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18"/>
    <w:rsid w:val="00001168"/>
    <w:rsid w:val="00002E24"/>
    <w:rsid w:val="00006CF6"/>
    <w:rsid w:val="00007FAC"/>
    <w:rsid w:val="00014F73"/>
    <w:rsid w:val="00032119"/>
    <w:rsid w:val="0003715D"/>
    <w:rsid w:val="00040505"/>
    <w:rsid w:val="00042CD4"/>
    <w:rsid w:val="00052188"/>
    <w:rsid w:val="000532D2"/>
    <w:rsid w:val="00055356"/>
    <w:rsid w:val="00056C95"/>
    <w:rsid w:val="000574CB"/>
    <w:rsid w:val="0006059F"/>
    <w:rsid w:val="00060D7E"/>
    <w:rsid w:val="00061464"/>
    <w:rsid w:val="000617CD"/>
    <w:rsid w:val="00072B1D"/>
    <w:rsid w:val="000802F9"/>
    <w:rsid w:val="00085247"/>
    <w:rsid w:val="00086E84"/>
    <w:rsid w:val="00093506"/>
    <w:rsid w:val="000A44C2"/>
    <w:rsid w:val="000A5CC8"/>
    <w:rsid w:val="000B3F8D"/>
    <w:rsid w:val="000C4E01"/>
    <w:rsid w:val="000C76E1"/>
    <w:rsid w:val="000D0329"/>
    <w:rsid w:val="000E5360"/>
    <w:rsid w:val="000F6F99"/>
    <w:rsid w:val="00101975"/>
    <w:rsid w:val="00111560"/>
    <w:rsid w:val="00112320"/>
    <w:rsid w:val="00112384"/>
    <w:rsid w:val="00113BDC"/>
    <w:rsid w:val="00123FA8"/>
    <w:rsid w:val="00126A6F"/>
    <w:rsid w:val="001304FC"/>
    <w:rsid w:val="00133863"/>
    <w:rsid w:val="00133BF9"/>
    <w:rsid w:val="001345DC"/>
    <w:rsid w:val="00136E09"/>
    <w:rsid w:val="0013723E"/>
    <w:rsid w:val="00137366"/>
    <w:rsid w:val="0014008D"/>
    <w:rsid w:val="00141C9B"/>
    <w:rsid w:val="00143156"/>
    <w:rsid w:val="00145F8C"/>
    <w:rsid w:val="001467C1"/>
    <w:rsid w:val="001503F2"/>
    <w:rsid w:val="00150A54"/>
    <w:rsid w:val="0015281B"/>
    <w:rsid w:val="001535A3"/>
    <w:rsid w:val="00153DDA"/>
    <w:rsid w:val="00155196"/>
    <w:rsid w:val="00155507"/>
    <w:rsid w:val="00156EE0"/>
    <w:rsid w:val="001612D7"/>
    <w:rsid w:val="00181192"/>
    <w:rsid w:val="00187D2B"/>
    <w:rsid w:val="001901EA"/>
    <w:rsid w:val="00191FF9"/>
    <w:rsid w:val="001A3829"/>
    <w:rsid w:val="001A4BFE"/>
    <w:rsid w:val="001B0C57"/>
    <w:rsid w:val="001B2DB6"/>
    <w:rsid w:val="001B6BEE"/>
    <w:rsid w:val="001B7ED8"/>
    <w:rsid w:val="001C3AB3"/>
    <w:rsid w:val="001D5CB0"/>
    <w:rsid w:val="001F1310"/>
    <w:rsid w:val="001F36E5"/>
    <w:rsid w:val="001F646F"/>
    <w:rsid w:val="0020056C"/>
    <w:rsid w:val="00200BC5"/>
    <w:rsid w:val="002105BA"/>
    <w:rsid w:val="00213105"/>
    <w:rsid w:val="00220076"/>
    <w:rsid w:val="00220B0C"/>
    <w:rsid w:val="00232D8B"/>
    <w:rsid w:val="00240364"/>
    <w:rsid w:val="00251E50"/>
    <w:rsid w:val="00254CC8"/>
    <w:rsid w:val="00255ABF"/>
    <w:rsid w:val="00257224"/>
    <w:rsid w:val="00262C4D"/>
    <w:rsid w:val="00263F35"/>
    <w:rsid w:val="002664F3"/>
    <w:rsid w:val="00273FEE"/>
    <w:rsid w:val="0027406A"/>
    <w:rsid w:val="00280B29"/>
    <w:rsid w:val="00295037"/>
    <w:rsid w:val="00295C2C"/>
    <w:rsid w:val="002A41B6"/>
    <w:rsid w:val="002A7D6C"/>
    <w:rsid w:val="002B1009"/>
    <w:rsid w:val="002B1E3D"/>
    <w:rsid w:val="002B76AE"/>
    <w:rsid w:val="002C1DFB"/>
    <w:rsid w:val="002C28B3"/>
    <w:rsid w:val="002C28DB"/>
    <w:rsid w:val="002C4964"/>
    <w:rsid w:val="002D079D"/>
    <w:rsid w:val="002D2C77"/>
    <w:rsid w:val="002D70F5"/>
    <w:rsid w:val="002D7F37"/>
    <w:rsid w:val="002E4630"/>
    <w:rsid w:val="002F0BE1"/>
    <w:rsid w:val="002F3A34"/>
    <w:rsid w:val="003021A6"/>
    <w:rsid w:val="003173B2"/>
    <w:rsid w:val="003246C3"/>
    <w:rsid w:val="00324EBE"/>
    <w:rsid w:val="00325170"/>
    <w:rsid w:val="00326CBE"/>
    <w:rsid w:val="00333318"/>
    <w:rsid w:val="0033665A"/>
    <w:rsid w:val="00343E28"/>
    <w:rsid w:val="0034519C"/>
    <w:rsid w:val="00347261"/>
    <w:rsid w:val="003639DC"/>
    <w:rsid w:val="00372803"/>
    <w:rsid w:val="003747D0"/>
    <w:rsid w:val="003766A8"/>
    <w:rsid w:val="00376F47"/>
    <w:rsid w:val="00381672"/>
    <w:rsid w:val="00383ED8"/>
    <w:rsid w:val="003865D7"/>
    <w:rsid w:val="00395613"/>
    <w:rsid w:val="003A01EA"/>
    <w:rsid w:val="003A1F0C"/>
    <w:rsid w:val="003A46A4"/>
    <w:rsid w:val="003A5000"/>
    <w:rsid w:val="003B02C7"/>
    <w:rsid w:val="003B1AEC"/>
    <w:rsid w:val="003B25CD"/>
    <w:rsid w:val="003B5750"/>
    <w:rsid w:val="003B7E83"/>
    <w:rsid w:val="003C1C75"/>
    <w:rsid w:val="003E41B9"/>
    <w:rsid w:val="003E46A6"/>
    <w:rsid w:val="003E4C73"/>
    <w:rsid w:val="003E5B0F"/>
    <w:rsid w:val="003F0FB0"/>
    <w:rsid w:val="003F1553"/>
    <w:rsid w:val="003F262D"/>
    <w:rsid w:val="00400148"/>
    <w:rsid w:val="004008F5"/>
    <w:rsid w:val="00402A42"/>
    <w:rsid w:val="00406AEA"/>
    <w:rsid w:val="004134BB"/>
    <w:rsid w:val="00416C71"/>
    <w:rsid w:val="004276DB"/>
    <w:rsid w:val="00434512"/>
    <w:rsid w:val="0043721F"/>
    <w:rsid w:val="004455C6"/>
    <w:rsid w:val="00445E8D"/>
    <w:rsid w:val="004513E5"/>
    <w:rsid w:val="00453E9B"/>
    <w:rsid w:val="00456CD7"/>
    <w:rsid w:val="00460FE9"/>
    <w:rsid w:val="0046708A"/>
    <w:rsid w:val="00471B49"/>
    <w:rsid w:val="00471DB0"/>
    <w:rsid w:val="00471E6F"/>
    <w:rsid w:val="004743DE"/>
    <w:rsid w:val="00474C14"/>
    <w:rsid w:val="00475D29"/>
    <w:rsid w:val="0048569A"/>
    <w:rsid w:val="00486FB6"/>
    <w:rsid w:val="00491BB2"/>
    <w:rsid w:val="004978F5"/>
    <w:rsid w:val="004A46BC"/>
    <w:rsid w:val="004A5D69"/>
    <w:rsid w:val="004B1DEC"/>
    <w:rsid w:val="004B62AF"/>
    <w:rsid w:val="004C2061"/>
    <w:rsid w:val="004D344C"/>
    <w:rsid w:val="004E05BF"/>
    <w:rsid w:val="004E2BE0"/>
    <w:rsid w:val="004E399D"/>
    <w:rsid w:val="004E59E1"/>
    <w:rsid w:val="004E5D30"/>
    <w:rsid w:val="004E795C"/>
    <w:rsid w:val="004F42DD"/>
    <w:rsid w:val="004F66BB"/>
    <w:rsid w:val="00502045"/>
    <w:rsid w:val="00503D89"/>
    <w:rsid w:val="00507CCA"/>
    <w:rsid w:val="005116CA"/>
    <w:rsid w:val="005136B9"/>
    <w:rsid w:val="0051442A"/>
    <w:rsid w:val="00515BC3"/>
    <w:rsid w:val="005230B7"/>
    <w:rsid w:val="00531EE4"/>
    <w:rsid w:val="0053579E"/>
    <w:rsid w:val="00537244"/>
    <w:rsid w:val="005431CD"/>
    <w:rsid w:val="0054341E"/>
    <w:rsid w:val="005506D6"/>
    <w:rsid w:val="005556BD"/>
    <w:rsid w:val="00556F66"/>
    <w:rsid w:val="0056345F"/>
    <w:rsid w:val="00565EEE"/>
    <w:rsid w:val="00573892"/>
    <w:rsid w:val="00576CCB"/>
    <w:rsid w:val="005833D5"/>
    <w:rsid w:val="00586D8D"/>
    <w:rsid w:val="005B066C"/>
    <w:rsid w:val="005B0D4A"/>
    <w:rsid w:val="005B1D1D"/>
    <w:rsid w:val="005B2C89"/>
    <w:rsid w:val="005C2529"/>
    <w:rsid w:val="005C4B5C"/>
    <w:rsid w:val="005C6502"/>
    <w:rsid w:val="005D64CA"/>
    <w:rsid w:val="005E2197"/>
    <w:rsid w:val="005F027F"/>
    <w:rsid w:val="005F271E"/>
    <w:rsid w:val="005F3AFE"/>
    <w:rsid w:val="005F40C1"/>
    <w:rsid w:val="005F6F50"/>
    <w:rsid w:val="00601CA6"/>
    <w:rsid w:val="00601E8F"/>
    <w:rsid w:val="00613B2D"/>
    <w:rsid w:val="00613D92"/>
    <w:rsid w:val="00624D4A"/>
    <w:rsid w:val="0062541A"/>
    <w:rsid w:val="00632774"/>
    <w:rsid w:val="0063385B"/>
    <w:rsid w:val="006340A4"/>
    <w:rsid w:val="0063433F"/>
    <w:rsid w:val="006416A2"/>
    <w:rsid w:val="00650560"/>
    <w:rsid w:val="0065241A"/>
    <w:rsid w:val="006576AE"/>
    <w:rsid w:val="00673C3F"/>
    <w:rsid w:val="006776A7"/>
    <w:rsid w:val="006818AD"/>
    <w:rsid w:val="00692892"/>
    <w:rsid w:val="00692D2A"/>
    <w:rsid w:val="006951B1"/>
    <w:rsid w:val="0069552E"/>
    <w:rsid w:val="006A3DB4"/>
    <w:rsid w:val="006B56E1"/>
    <w:rsid w:val="006C084B"/>
    <w:rsid w:val="006C1A71"/>
    <w:rsid w:val="006C6811"/>
    <w:rsid w:val="006D36B4"/>
    <w:rsid w:val="006D3BAD"/>
    <w:rsid w:val="006D4C4B"/>
    <w:rsid w:val="006F1B06"/>
    <w:rsid w:val="006F73BE"/>
    <w:rsid w:val="007041E1"/>
    <w:rsid w:val="00706284"/>
    <w:rsid w:val="007124DB"/>
    <w:rsid w:val="00714170"/>
    <w:rsid w:val="00716D66"/>
    <w:rsid w:val="00716E5A"/>
    <w:rsid w:val="007171CB"/>
    <w:rsid w:val="00731245"/>
    <w:rsid w:val="00736D5B"/>
    <w:rsid w:val="00742509"/>
    <w:rsid w:val="007432C8"/>
    <w:rsid w:val="00754CA1"/>
    <w:rsid w:val="007551DC"/>
    <w:rsid w:val="00755D9F"/>
    <w:rsid w:val="00760B9C"/>
    <w:rsid w:val="00764B03"/>
    <w:rsid w:val="0076509B"/>
    <w:rsid w:val="0076545E"/>
    <w:rsid w:val="007718D6"/>
    <w:rsid w:val="0077460F"/>
    <w:rsid w:val="0078384E"/>
    <w:rsid w:val="0078524E"/>
    <w:rsid w:val="00785700"/>
    <w:rsid w:val="00791426"/>
    <w:rsid w:val="00795927"/>
    <w:rsid w:val="007A1AF6"/>
    <w:rsid w:val="007A4234"/>
    <w:rsid w:val="007A705C"/>
    <w:rsid w:val="007A7786"/>
    <w:rsid w:val="007B2A45"/>
    <w:rsid w:val="007C1AB0"/>
    <w:rsid w:val="007C2742"/>
    <w:rsid w:val="007C7358"/>
    <w:rsid w:val="007D1F9D"/>
    <w:rsid w:val="007D3E00"/>
    <w:rsid w:val="007D66B0"/>
    <w:rsid w:val="007E1A37"/>
    <w:rsid w:val="007E27DC"/>
    <w:rsid w:val="007E688A"/>
    <w:rsid w:val="007E75C5"/>
    <w:rsid w:val="007F262C"/>
    <w:rsid w:val="007F5D20"/>
    <w:rsid w:val="00800259"/>
    <w:rsid w:val="008035D6"/>
    <w:rsid w:val="00811ADA"/>
    <w:rsid w:val="008271F0"/>
    <w:rsid w:val="00830C02"/>
    <w:rsid w:val="008313F8"/>
    <w:rsid w:val="00831596"/>
    <w:rsid w:val="0083231E"/>
    <w:rsid w:val="00832D81"/>
    <w:rsid w:val="00840AED"/>
    <w:rsid w:val="008411FC"/>
    <w:rsid w:val="00843118"/>
    <w:rsid w:val="008469E9"/>
    <w:rsid w:val="008510CF"/>
    <w:rsid w:val="00874F8E"/>
    <w:rsid w:val="00880CA7"/>
    <w:rsid w:val="00890816"/>
    <w:rsid w:val="00890C7F"/>
    <w:rsid w:val="00890DB1"/>
    <w:rsid w:val="00892BE8"/>
    <w:rsid w:val="00892BF4"/>
    <w:rsid w:val="00894086"/>
    <w:rsid w:val="008948F9"/>
    <w:rsid w:val="0089513A"/>
    <w:rsid w:val="008968AC"/>
    <w:rsid w:val="008A3145"/>
    <w:rsid w:val="008A6740"/>
    <w:rsid w:val="008B23B9"/>
    <w:rsid w:val="008B2785"/>
    <w:rsid w:val="008B4074"/>
    <w:rsid w:val="008B721B"/>
    <w:rsid w:val="008B7D3B"/>
    <w:rsid w:val="008C1669"/>
    <w:rsid w:val="008C3982"/>
    <w:rsid w:val="008C4247"/>
    <w:rsid w:val="008C4B09"/>
    <w:rsid w:val="008C76E7"/>
    <w:rsid w:val="008D59F1"/>
    <w:rsid w:val="008D63EA"/>
    <w:rsid w:val="008E29AE"/>
    <w:rsid w:val="008E5F11"/>
    <w:rsid w:val="008F5A7D"/>
    <w:rsid w:val="008F7839"/>
    <w:rsid w:val="00903140"/>
    <w:rsid w:val="0090398D"/>
    <w:rsid w:val="009121DD"/>
    <w:rsid w:val="009138D9"/>
    <w:rsid w:val="009140A9"/>
    <w:rsid w:val="00927863"/>
    <w:rsid w:val="00931FBC"/>
    <w:rsid w:val="00935AE8"/>
    <w:rsid w:val="00936833"/>
    <w:rsid w:val="00936FF5"/>
    <w:rsid w:val="00942AD7"/>
    <w:rsid w:val="009433F0"/>
    <w:rsid w:val="00950608"/>
    <w:rsid w:val="00970F1A"/>
    <w:rsid w:val="0097130F"/>
    <w:rsid w:val="009717DA"/>
    <w:rsid w:val="00977753"/>
    <w:rsid w:val="009918A3"/>
    <w:rsid w:val="00991D4D"/>
    <w:rsid w:val="00992EB6"/>
    <w:rsid w:val="00996286"/>
    <w:rsid w:val="009972D9"/>
    <w:rsid w:val="009A0456"/>
    <w:rsid w:val="009A7098"/>
    <w:rsid w:val="009B251D"/>
    <w:rsid w:val="009C2707"/>
    <w:rsid w:val="009C35BB"/>
    <w:rsid w:val="009C7946"/>
    <w:rsid w:val="009D5A47"/>
    <w:rsid w:val="009D5F79"/>
    <w:rsid w:val="009D6786"/>
    <w:rsid w:val="009E24B3"/>
    <w:rsid w:val="009E44AA"/>
    <w:rsid w:val="009E6BA7"/>
    <w:rsid w:val="009F0B37"/>
    <w:rsid w:val="009F57CD"/>
    <w:rsid w:val="009F5D54"/>
    <w:rsid w:val="00A02411"/>
    <w:rsid w:val="00A120A3"/>
    <w:rsid w:val="00A13214"/>
    <w:rsid w:val="00A13664"/>
    <w:rsid w:val="00A15FD5"/>
    <w:rsid w:val="00A16345"/>
    <w:rsid w:val="00A21DBB"/>
    <w:rsid w:val="00A23652"/>
    <w:rsid w:val="00A2748B"/>
    <w:rsid w:val="00A3456C"/>
    <w:rsid w:val="00A3620D"/>
    <w:rsid w:val="00A3621A"/>
    <w:rsid w:val="00A370B4"/>
    <w:rsid w:val="00A3747F"/>
    <w:rsid w:val="00A37842"/>
    <w:rsid w:val="00A4182A"/>
    <w:rsid w:val="00A41B75"/>
    <w:rsid w:val="00A44C2F"/>
    <w:rsid w:val="00A453ED"/>
    <w:rsid w:val="00A51000"/>
    <w:rsid w:val="00A512F2"/>
    <w:rsid w:val="00A516EF"/>
    <w:rsid w:val="00A54F87"/>
    <w:rsid w:val="00A64864"/>
    <w:rsid w:val="00A65836"/>
    <w:rsid w:val="00A7100F"/>
    <w:rsid w:val="00A71812"/>
    <w:rsid w:val="00A73951"/>
    <w:rsid w:val="00A7480B"/>
    <w:rsid w:val="00A764BF"/>
    <w:rsid w:val="00A837E8"/>
    <w:rsid w:val="00A84036"/>
    <w:rsid w:val="00A84D99"/>
    <w:rsid w:val="00A8525E"/>
    <w:rsid w:val="00A86211"/>
    <w:rsid w:val="00A909AF"/>
    <w:rsid w:val="00AA237F"/>
    <w:rsid w:val="00AA3AA3"/>
    <w:rsid w:val="00AA3ACA"/>
    <w:rsid w:val="00AD234F"/>
    <w:rsid w:val="00AD33AE"/>
    <w:rsid w:val="00AD357F"/>
    <w:rsid w:val="00AE3063"/>
    <w:rsid w:val="00AE3A50"/>
    <w:rsid w:val="00AF02D9"/>
    <w:rsid w:val="00B02383"/>
    <w:rsid w:val="00B05A9B"/>
    <w:rsid w:val="00B069C6"/>
    <w:rsid w:val="00B07793"/>
    <w:rsid w:val="00B250EB"/>
    <w:rsid w:val="00B3148A"/>
    <w:rsid w:val="00B31EC9"/>
    <w:rsid w:val="00B3379A"/>
    <w:rsid w:val="00B33FBA"/>
    <w:rsid w:val="00B3530F"/>
    <w:rsid w:val="00B3798A"/>
    <w:rsid w:val="00B41A9B"/>
    <w:rsid w:val="00B427F7"/>
    <w:rsid w:val="00B46A3D"/>
    <w:rsid w:val="00B52638"/>
    <w:rsid w:val="00B54061"/>
    <w:rsid w:val="00B57D55"/>
    <w:rsid w:val="00B6517C"/>
    <w:rsid w:val="00B656AA"/>
    <w:rsid w:val="00B6657B"/>
    <w:rsid w:val="00B73B40"/>
    <w:rsid w:val="00B74709"/>
    <w:rsid w:val="00B77242"/>
    <w:rsid w:val="00B779D2"/>
    <w:rsid w:val="00B77AB8"/>
    <w:rsid w:val="00B838DB"/>
    <w:rsid w:val="00B83E71"/>
    <w:rsid w:val="00B90FC5"/>
    <w:rsid w:val="00B97CD1"/>
    <w:rsid w:val="00BA4E1F"/>
    <w:rsid w:val="00BC1E55"/>
    <w:rsid w:val="00BC21D9"/>
    <w:rsid w:val="00BC6105"/>
    <w:rsid w:val="00BD2192"/>
    <w:rsid w:val="00BD2AA6"/>
    <w:rsid w:val="00BD397B"/>
    <w:rsid w:val="00BD4B5E"/>
    <w:rsid w:val="00BD5784"/>
    <w:rsid w:val="00BD6111"/>
    <w:rsid w:val="00BE2075"/>
    <w:rsid w:val="00BE214E"/>
    <w:rsid w:val="00BE2D6B"/>
    <w:rsid w:val="00BE4A71"/>
    <w:rsid w:val="00BF0A37"/>
    <w:rsid w:val="00BF1167"/>
    <w:rsid w:val="00BF500E"/>
    <w:rsid w:val="00BF6913"/>
    <w:rsid w:val="00C006B1"/>
    <w:rsid w:val="00C0181C"/>
    <w:rsid w:val="00C01D64"/>
    <w:rsid w:val="00C0320F"/>
    <w:rsid w:val="00C0731E"/>
    <w:rsid w:val="00C07675"/>
    <w:rsid w:val="00C12131"/>
    <w:rsid w:val="00C14A63"/>
    <w:rsid w:val="00C16D03"/>
    <w:rsid w:val="00C318BF"/>
    <w:rsid w:val="00C41DA1"/>
    <w:rsid w:val="00C5095D"/>
    <w:rsid w:val="00C5365E"/>
    <w:rsid w:val="00C60F6F"/>
    <w:rsid w:val="00C624CE"/>
    <w:rsid w:val="00C62840"/>
    <w:rsid w:val="00C629D3"/>
    <w:rsid w:val="00C654E2"/>
    <w:rsid w:val="00C71F61"/>
    <w:rsid w:val="00C84C0A"/>
    <w:rsid w:val="00C852E6"/>
    <w:rsid w:val="00C86D67"/>
    <w:rsid w:val="00C92D49"/>
    <w:rsid w:val="00C94A42"/>
    <w:rsid w:val="00CA2845"/>
    <w:rsid w:val="00CB1ECF"/>
    <w:rsid w:val="00CB4368"/>
    <w:rsid w:val="00CC0A2E"/>
    <w:rsid w:val="00CC1A30"/>
    <w:rsid w:val="00CC2E26"/>
    <w:rsid w:val="00CD581F"/>
    <w:rsid w:val="00D01DC5"/>
    <w:rsid w:val="00D02634"/>
    <w:rsid w:val="00D0616A"/>
    <w:rsid w:val="00D1107C"/>
    <w:rsid w:val="00D130F7"/>
    <w:rsid w:val="00D137DD"/>
    <w:rsid w:val="00D1730E"/>
    <w:rsid w:val="00D17FFA"/>
    <w:rsid w:val="00D2338D"/>
    <w:rsid w:val="00D50555"/>
    <w:rsid w:val="00D53891"/>
    <w:rsid w:val="00D57DD1"/>
    <w:rsid w:val="00D60D84"/>
    <w:rsid w:val="00D63996"/>
    <w:rsid w:val="00D66319"/>
    <w:rsid w:val="00D6675E"/>
    <w:rsid w:val="00D67B3B"/>
    <w:rsid w:val="00D71150"/>
    <w:rsid w:val="00D733D7"/>
    <w:rsid w:val="00D75C2B"/>
    <w:rsid w:val="00D83F6C"/>
    <w:rsid w:val="00D90079"/>
    <w:rsid w:val="00D93A9E"/>
    <w:rsid w:val="00D94078"/>
    <w:rsid w:val="00D960EF"/>
    <w:rsid w:val="00D979E8"/>
    <w:rsid w:val="00DA3271"/>
    <w:rsid w:val="00DA4A20"/>
    <w:rsid w:val="00DA64EF"/>
    <w:rsid w:val="00DB187B"/>
    <w:rsid w:val="00DB23AF"/>
    <w:rsid w:val="00DB4598"/>
    <w:rsid w:val="00DB4847"/>
    <w:rsid w:val="00DC4FF8"/>
    <w:rsid w:val="00DC729D"/>
    <w:rsid w:val="00DD12C9"/>
    <w:rsid w:val="00DD2A15"/>
    <w:rsid w:val="00DE2FC1"/>
    <w:rsid w:val="00DF10FF"/>
    <w:rsid w:val="00DF35DE"/>
    <w:rsid w:val="00DF443F"/>
    <w:rsid w:val="00DF792D"/>
    <w:rsid w:val="00DF7FA5"/>
    <w:rsid w:val="00E04DF4"/>
    <w:rsid w:val="00E0570F"/>
    <w:rsid w:val="00E0577E"/>
    <w:rsid w:val="00E06886"/>
    <w:rsid w:val="00E12688"/>
    <w:rsid w:val="00E14768"/>
    <w:rsid w:val="00E16F0B"/>
    <w:rsid w:val="00E30BC1"/>
    <w:rsid w:val="00E31F44"/>
    <w:rsid w:val="00E444BB"/>
    <w:rsid w:val="00E50855"/>
    <w:rsid w:val="00E51479"/>
    <w:rsid w:val="00E53ED7"/>
    <w:rsid w:val="00E543BD"/>
    <w:rsid w:val="00E60082"/>
    <w:rsid w:val="00E600BB"/>
    <w:rsid w:val="00E600E2"/>
    <w:rsid w:val="00E64CC7"/>
    <w:rsid w:val="00E73FA7"/>
    <w:rsid w:val="00E83632"/>
    <w:rsid w:val="00E94EE1"/>
    <w:rsid w:val="00EA6BFE"/>
    <w:rsid w:val="00EB1868"/>
    <w:rsid w:val="00EC3933"/>
    <w:rsid w:val="00EC429B"/>
    <w:rsid w:val="00EC5593"/>
    <w:rsid w:val="00EC65C2"/>
    <w:rsid w:val="00ED458D"/>
    <w:rsid w:val="00ED65FD"/>
    <w:rsid w:val="00EE3CD0"/>
    <w:rsid w:val="00EE56E3"/>
    <w:rsid w:val="00EE7E48"/>
    <w:rsid w:val="00F1457C"/>
    <w:rsid w:val="00F16E70"/>
    <w:rsid w:val="00F17C80"/>
    <w:rsid w:val="00F20195"/>
    <w:rsid w:val="00F21002"/>
    <w:rsid w:val="00F22DDE"/>
    <w:rsid w:val="00F266B3"/>
    <w:rsid w:val="00F26959"/>
    <w:rsid w:val="00F31AC7"/>
    <w:rsid w:val="00F32378"/>
    <w:rsid w:val="00F32B4C"/>
    <w:rsid w:val="00F32CC9"/>
    <w:rsid w:val="00F37E09"/>
    <w:rsid w:val="00F4475B"/>
    <w:rsid w:val="00F47901"/>
    <w:rsid w:val="00F47E92"/>
    <w:rsid w:val="00F57EFF"/>
    <w:rsid w:val="00F67157"/>
    <w:rsid w:val="00F70871"/>
    <w:rsid w:val="00F70B15"/>
    <w:rsid w:val="00F72681"/>
    <w:rsid w:val="00F75A77"/>
    <w:rsid w:val="00F76722"/>
    <w:rsid w:val="00F77DF8"/>
    <w:rsid w:val="00F812EF"/>
    <w:rsid w:val="00F837DD"/>
    <w:rsid w:val="00F90011"/>
    <w:rsid w:val="00F90E95"/>
    <w:rsid w:val="00FA192F"/>
    <w:rsid w:val="00FA26E2"/>
    <w:rsid w:val="00FA3111"/>
    <w:rsid w:val="00FA3458"/>
    <w:rsid w:val="00FA60AA"/>
    <w:rsid w:val="00FC3041"/>
    <w:rsid w:val="00FC72EA"/>
    <w:rsid w:val="00FD00B9"/>
    <w:rsid w:val="00FD5A30"/>
    <w:rsid w:val="00FD5B2F"/>
    <w:rsid w:val="00FD7C50"/>
    <w:rsid w:val="00FE009C"/>
    <w:rsid w:val="00FE0AC0"/>
    <w:rsid w:val="00FE5FC8"/>
    <w:rsid w:val="00FF01D5"/>
    <w:rsid w:val="00FF1291"/>
    <w:rsid w:val="00FF3F39"/>
    <w:rsid w:val="00FF5261"/>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0B8F4DE1"/>
  <w15:chartTrackingRefBased/>
  <w15:docId w15:val="{10888050-A371-412C-AC6B-EC3880A15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19"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187D2B"/>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24"/>
    <w:semiHidden/>
    <w:qFormat/>
    <w:rsid w:val="00B337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24"/>
    <w:semiHidden/>
    <w:qFormat/>
    <w:rsid w:val="00B337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rsid w:val="00055356"/>
    <w:pPr>
      <w:spacing w:before="60" w:after="60" w:line="240" w:lineRule="auto"/>
      <w:jc w:val="both"/>
    </w:pPr>
    <w:rPr>
      <w:rFonts w:ascii="Noto Sans" w:eastAsia="Noto Sans SC Regular" w:hAnsi="Noto Sans" w:cs="Noto Sans"/>
      <w:sz w:val="18"/>
      <w:szCs w:val="18"/>
      <w:lang w:val="es-ES_tradnl"/>
    </w:rPr>
  </w:style>
  <w:style w:type="character" w:customStyle="1" w:styleId="BoxBodyChar">
    <w:name w:val="Box Body Char"/>
    <w:basedOn w:val="DefaultParagraphFont"/>
    <w:link w:val="BoxBody"/>
    <w:uiPriority w:val="12"/>
    <w:rsid w:val="00055356"/>
    <w:rPr>
      <w:rFonts w:ascii="Noto Sans" w:eastAsia="Noto Sans SC Regular" w:hAnsi="Noto Sans" w:cs="Noto Sans"/>
      <w:sz w:val="18"/>
      <w:szCs w:val="18"/>
      <w:lang w:val="es-ES_tradnl"/>
    </w:rPr>
  </w:style>
  <w:style w:type="paragraph" w:styleId="Header">
    <w:name w:val="header"/>
    <w:basedOn w:val="NormalBody"/>
    <w:link w:val="HeaderChar"/>
    <w:uiPriority w:val="26"/>
    <w:semiHidden/>
    <w:rsid w:val="004E2BE0"/>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055356"/>
    <w:pPr>
      <w:numPr>
        <w:numId w:val="1"/>
      </w:numPr>
      <w:spacing w:before="60" w:after="60" w:line="240" w:lineRule="auto"/>
      <w:jc w:val="both"/>
    </w:pPr>
    <w:rPr>
      <w:rFonts w:ascii="Noto Sans" w:eastAsia="Noto Sans SC Regular" w:hAnsi="Noto Sans" w:cs="Noto Sans"/>
      <w:sz w:val="18"/>
      <w:szCs w:val="18"/>
      <w:lang w:val="es-ES_tradnl"/>
    </w:rPr>
  </w:style>
  <w:style w:type="character" w:customStyle="1" w:styleId="BoxBodyNumberedChar">
    <w:name w:val="Box Body Numbered Char"/>
    <w:basedOn w:val="DefaultParagraphFont"/>
    <w:link w:val="BoxBodyNumbered"/>
    <w:uiPriority w:val="12"/>
    <w:rsid w:val="00055356"/>
    <w:rPr>
      <w:rFonts w:ascii="Noto Sans" w:eastAsia="Noto Sans SC Regular" w:hAnsi="Noto Sans" w:cs="Noto Sans"/>
      <w:sz w:val="18"/>
      <w:szCs w:val="18"/>
      <w:lang w:val="es-ES_tradnl"/>
    </w:rPr>
  </w:style>
  <w:style w:type="paragraph" w:customStyle="1" w:styleId="NormalBody">
    <w:name w:val="NormalBody"/>
    <w:basedOn w:val="Normal"/>
    <w:uiPriority w:val="19"/>
    <w:semiHidden/>
    <w:qFormat/>
    <w:rsid w:val="004E2BE0"/>
  </w:style>
  <w:style w:type="paragraph" w:customStyle="1" w:styleId="BoxIndent1">
    <w:name w:val="Box Indent 1"/>
    <w:link w:val="BoxIndent1Char"/>
    <w:uiPriority w:val="12"/>
    <w:qFormat/>
    <w:rsid w:val="00055356"/>
    <w:pPr>
      <w:spacing w:before="60" w:after="60" w:line="240" w:lineRule="auto"/>
      <w:ind w:left="680" w:hanging="340"/>
      <w:jc w:val="both"/>
    </w:pPr>
    <w:rPr>
      <w:rFonts w:ascii="Noto Sans" w:eastAsia="Noto Sans SC Regular" w:hAnsi="Noto Sans" w:cs="Noto Sans"/>
      <w:sz w:val="18"/>
      <w:szCs w:val="18"/>
      <w:lang w:val="es-ES_tradnl"/>
    </w:rPr>
  </w:style>
  <w:style w:type="character" w:customStyle="1" w:styleId="BoxIndent1Char">
    <w:name w:val="Box Indent 1 Char"/>
    <w:basedOn w:val="DefaultParagraphFont"/>
    <w:link w:val="BoxIndent1"/>
    <w:uiPriority w:val="12"/>
    <w:rsid w:val="00055356"/>
    <w:rPr>
      <w:rFonts w:ascii="Noto Sans" w:eastAsia="Noto Sans SC Regular" w:hAnsi="Noto Sans" w:cs="Noto Sans"/>
      <w:sz w:val="18"/>
      <w:szCs w:val="18"/>
      <w:lang w:val="es-ES_tradnl"/>
    </w:rPr>
  </w:style>
  <w:style w:type="paragraph" w:customStyle="1" w:styleId="BoxIndent2">
    <w:name w:val="Box Indent 2"/>
    <w:basedOn w:val="BoxIndent1"/>
    <w:link w:val="BoxIndent2Char"/>
    <w:uiPriority w:val="12"/>
    <w:qFormat/>
    <w:rsid w:val="00FD00B9"/>
    <w:pPr>
      <w:ind w:left="1020"/>
    </w:pPr>
  </w:style>
  <w:style w:type="character" w:customStyle="1" w:styleId="BoxIndent2Char">
    <w:name w:val="Box Indent 2 Char"/>
    <w:basedOn w:val="DefaultParagraphFont"/>
    <w:link w:val="BoxIndent2"/>
    <w:uiPriority w:val="12"/>
    <w:rsid w:val="00FD00B9"/>
    <w:rPr>
      <w:rFonts w:ascii="Noto Sans" w:eastAsia="Noto Sans SC Regular" w:hAnsi="Noto Sans" w:cs="Noto Sans"/>
      <w:sz w:val="18"/>
      <w:szCs w:val="18"/>
      <w:lang w:val="fr-FR"/>
    </w:rPr>
  </w:style>
  <w:style w:type="paragraph" w:customStyle="1" w:styleId="BoxIndentbluebulletlist1">
    <w:name w:val="Box Indent blue bullet list 1"/>
    <w:link w:val="BoxIndentbluebulletlist1Char"/>
    <w:uiPriority w:val="12"/>
    <w:qFormat/>
    <w:rsid w:val="00055356"/>
    <w:pPr>
      <w:numPr>
        <w:numId w:val="3"/>
      </w:numPr>
      <w:spacing w:after="0" w:line="240" w:lineRule="auto"/>
      <w:jc w:val="both"/>
    </w:pPr>
    <w:rPr>
      <w:rFonts w:ascii="Noto Sans" w:eastAsia="Noto Sans SC Regular" w:hAnsi="Noto Sans" w:cs="Noto Sans"/>
      <w:sz w:val="18"/>
      <w:szCs w:val="18"/>
      <w:lang w:val="es-ES_tradnl"/>
    </w:rPr>
  </w:style>
  <w:style w:type="character" w:customStyle="1" w:styleId="BoxIndentbluebulletlist1Char">
    <w:name w:val="Box Indent blue bullet list 1 Char"/>
    <w:basedOn w:val="DefaultParagraphFont"/>
    <w:link w:val="BoxIndentbluebulletlist1"/>
    <w:uiPriority w:val="12"/>
    <w:rsid w:val="00055356"/>
    <w:rPr>
      <w:rFonts w:ascii="Noto Sans" w:eastAsia="Noto Sans SC Regular" w:hAnsi="Noto Sans" w:cs="Noto Sans"/>
      <w:sz w:val="18"/>
      <w:szCs w:val="18"/>
      <w:lang w:val="es-ES_tradnl"/>
    </w:rPr>
  </w:style>
  <w:style w:type="paragraph" w:customStyle="1" w:styleId="BoxIndentbluebulletlist2">
    <w:name w:val="Box Indent blue bullet list 2"/>
    <w:basedOn w:val="BoxIndentbluebulletlist1"/>
    <w:link w:val="BoxIndentbluebulletlist2Char"/>
    <w:uiPriority w:val="12"/>
    <w:qFormat/>
    <w:rsid w:val="00D733D7"/>
    <w:pPr>
      <w:numPr>
        <w:ilvl w:val="1"/>
      </w:numPr>
      <w:ind w:left="1020" w:hanging="340"/>
    </w:pPr>
  </w:style>
  <w:style w:type="character" w:customStyle="1" w:styleId="BoxIndentbluebulletlist2Char">
    <w:name w:val="Box Indent blue bullet list 2 Char"/>
    <w:basedOn w:val="DefaultParagraphFont"/>
    <w:link w:val="BoxIndentbluebulletlist2"/>
    <w:uiPriority w:val="12"/>
    <w:rsid w:val="00D733D7"/>
    <w:rPr>
      <w:rFonts w:ascii="Noto Sans" w:eastAsia="Noto Sans SC Regular" w:hAnsi="Noto Sans" w:cs="Noto Sans"/>
      <w:sz w:val="18"/>
      <w:szCs w:val="18"/>
      <w:lang w:val="es-ES_tradnl"/>
    </w:rPr>
  </w:style>
  <w:style w:type="paragraph" w:customStyle="1" w:styleId="BoxIndentletterlistS">
    <w:name w:val="Box Indent letter list S"/>
    <w:basedOn w:val="BoxBodyNumbered"/>
    <w:link w:val="BoxIndentletterlistSChar"/>
    <w:uiPriority w:val="12"/>
    <w:qFormat/>
    <w:rsid w:val="00AD357F"/>
    <w:pPr>
      <w:numPr>
        <w:ilvl w:val="1"/>
        <w:numId w:val="26"/>
      </w:numPr>
    </w:pPr>
  </w:style>
  <w:style w:type="character" w:customStyle="1" w:styleId="BoxIndentletterlistSChar">
    <w:name w:val="Box Indent letter list S Char"/>
    <w:basedOn w:val="DefaultParagraphFont"/>
    <w:link w:val="BoxIndentletterlistS"/>
    <w:uiPriority w:val="12"/>
    <w:rsid w:val="00AD357F"/>
    <w:rPr>
      <w:rFonts w:ascii="Noto Sans" w:eastAsia="Noto Sans SC Regular" w:hAnsi="Noto Sans" w:cs="Noto Sans"/>
      <w:sz w:val="18"/>
      <w:szCs w:val="18"/>
      <w:lang w:val="fr-FR"/>
    </w:rPr>
  </w:style>
  <w:style w:type="paragraph" w:customStyle="1" w:styleId="ReportQuotationStyle1">
    <w:name w:val="Report Quotation Style 1"/>
    <w:link w:val="ReportQuotationStyle1Char"/>
    <w:uiPriority w:val="15"/>
    <w:qFormat/>
    <w:rsid w:val="00055356"/>
    <w:pPr>
      <w:spacing w:before="60" w:after="60" w:line="240" w:lineRule="auto"/>
      <w:ind w:left="1701"/>
      <w:jc w:val="both"/>
    </w:pPr>
    <w:rPr>
      <w:rFonts w:ascii="Noto Sans" w:eastAsia="Noto Sans SC Regular" w:hAnsi="Noto Sans" w:cs="Noto Sans"/>
      <w:sz w:val="18"/>
      <w:szCs w:val="18"/>
      <w:lang w:val="es-ES_tradnl"/>
    </w:rPr>
  </w:style>
  <w:style w:type="character" w:customStyle="1" w:styleId="ReportQuotationStyle1Char">
    <w:name w:val="Report Quotation Style 1 Char"/>
    <w:basedOn w:val="DefaultParagraphFont"/>
    <w:link w:val="ReportQuotationStyle1"/>
    <w:uiPriority w:val="15"/>
    <w:rsid w:val="00055356"/>
    <w:rPr>
      <w:rFonts w:ascii="Noto Sans" w:eastAsia="Noto Sans SC Regular" w:hAnsi="Noto Sans" w:cs="Noto Sans"/>
      <w:sz w:val="18"/>
      <w:szCs w:val="18"/>
      <w:lang w:val="es-ES_tradnl"/>
    </w:rPr>
  </w:style>
  <w:style w:type="paragraph" w:customStyle="1" w:styleId="ReportQuotationStyle2QuoteText">
    <w:name w:val="Report Quotation Style 2 Quote Text"/>
    <w:uiPriority w:val="15"/>
    <w:qFormat/>
    <w:rsid w:val="00055356"/>
    <w:pPr>
      <w:spacing w:before="60" w:after="60" w:line="240" w:lineRule="auto"/>
      <w:jc w:val="both"/>
    </w:pPr>
    <w:rPr>
      <w:rFonts w:ascii="Noto Sans" w:eastAsia="Noto Sans SC Regular" w:hAnsi="Noto Sans" w:cs="Noto Sans"/>
      <w:sz w:val="18"/>
      <w:szCs w:val="18"/>
      <w:lang w:val="es-ES_tradnl"/>
    </w:rPr>
  </w:style>
  <w:style w:type="paragraph" w:customStyle="1" w:styleId="ReportQuotationStyle2Quotationmarks">
    <w:name w:val="Report Quotation Style 2 Quotation marks"/>
    <w:basedOn w:val="ReportQuotationStyle2QuoteText"/>
    <w:uiPriority w:val="15"/>
    <w:rsid w:val="00FD00B9"/>
    <w:pPr>
      <w:spacing w:before="120"/>
    </w:pPr>
  </w:style>
  <w:style w:type="paragraph" w:customStyle="1" w:styleId="ReportQuotationStyle2QuoteSource">
    <w:name w:val="Report Quotation Style 2 Quote Source"/>
    <w:link w:val="ReportQuotationStyle2QuoteSourceChar"/>
    <w:uiPriority w:val="15"/>
    <w:qFormat/>
    <w:rsid w:val="00055356"/>
    <w:pPr>
      <w:spacing w:before="60" w:after="60" w:line="240" w:lineRule="auto"/>
      <w:jc w:val="both"/>
    </w:pPr>
    <w:rPr>
      <w:rFonts w:ascii="Noto Sans" w:eastAsia="Noto Sans SC Regular" w:hAnsi="Noto Sans" w:cs="Noto Sans"/>
      <w:sz w:val="15"/>
      <w:szCs w:val="15"/>
      <w:lang w:val="es-ES_tradnl"/>
    </w:rPr>
  </w:style>
  <w:style w:type="character" w:customStyle="1" w:styleId="ReportQuotationStyle2QuoteSourceChar">
    <w:name w:val="Report Quotation Style 2 Quote Source Char"/>
    <w:basedOn w:val="DefaultParagraphFont"/>
    <w:link w:val="ReportQuotationStyle2QuoteSource"/>
    <w:uiPriority w:val="15"/>
    <w:rsid w:val="00055356"/>
    <w:rPr>
      <w:rFonts w:ascii="Noto Sans" w:eastAsia="Noto Sans SC Regular" w:hAnsi="Noto Sans" w:cs="Noto Sans"/>
      <w:sz w:val="15"/>
      <w:szCs w:val="15"/>
      <w:lang w:val="es-ES_tradnl"/>
    </w:rPr>
  </w:style>
  <w:style w:type="paragraph" w:styleId="Footer">
    <w:name w:val="footer"/>
    <w:basedOn w:val="Normal"/>
    <w:link w:val="FooterCh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semiHidden/>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rsid w:val="008035D6"/>
    <w:rPr>
      <w:vertAlign w:val="superscript"/>
      <w:lang w:val="es-ES_tradnl"/>
    </w:rPr>
  </w:style>
  <w:style w:type="paragraph" w:customStyle="1" w:styleId="FootnoteSeparator">
    <w:name w:val="Footnote Separator"/>
    <w:link w:val="FootnoteSeparatorChar"/>
    <w:uiPriority w:val="6"/>
    <w:rsid w:val="006F73BE"/>
    <w:pPr>
      <w:pBdr>
        <w:bottom w:val="single" w:sz="8" w:space="1" w:color="1E2CBD"/>
      </w:pBdr>
      <w:spacing w:before="120" w:after="60" w:line="240" w:lineRule="auto"/>
      <w:ind w:right="8789"/>
    </w:pPr>
    <w:rPr>
      <w:rFonts w:ascii="Noto Sans" w:eastAsia="Noto Sans SC Regular" w:hAnsi="Noto Sans" w:cs="Noto Sans"/>
      <w:sz w:val="20"/>
      <w:szCs w:val="20"/>
      <w:lang w:val="es-ES_tradnl"/>
    </w:rPr>
  </w:style>
  <w:style w:type="character" w:customStyle="1" w:styleId="FootnoteSeparatorChar">
    <w:name w:val="Footnote Separator Char"/>
    <w:basedOn w:val="DefaultParagraphFont"/>
    <w:link w:val="FootnoteSeparator"/>
    <w:uiPriority w:val="6"/>
    <w:rsid w:val="006F73BE"/>
    <w:rPr>
      <w:rFonts w:ascii="Noto Sans" w:eastAsia="Noto Sans SC Regular" w:hAnsi="Noto Sans" w:cs="Noto Sans"/>
      <w:sz w:val="20"/>
      <w:szCs w:val="20"/>
      <w:lang w:val="es-ES_tradnl"/>
    </w:rPr>
  </w:style>
  <w:style w:type="paragraph" w:styleId="FootnoteText">
    <w:name w:val="footnote text"/>
    <w:link w:val="FootnoteTextChar"/>
    <w:rsid w:val="008035D6"/>
    <w:pPr>
      <w:spacing w:before="60" w:after="60" w:line="240" w:lineRule="auto"/>
      <w:jc w:val="both"/>
    </w:pPr>
    <w:rPr>
      <w:rFonts w:ascii="Noto Sans" w:eastAsia="Noto Sans SC Regular" w:hAnsi="Noto Sans" w:cs="Noto Sans"/>
      <w:sz w:val="16"/>
      <w:szCs w:val="16"/>
      <w:lang w:val="es-ES_tradnl"/>
    </w:rPr>
  </w:style>
  <w:style w:type="character" w:customStyle="1" w:styleId="FootnoteTextChar">
    <w:name w:val="Footnote Text Char"/>
    <w:basedOn w:val="DefaultParagraphFont"/>
    <w:link w:val="FootnoteText"/>
    <w:rsid w:val="008035D6"/>
    <w:rPr>
      <w:rFonts w:ascii="Noto Sans" w:eastAsia="Noto Sans SC Regular" w:hAnsi="Noto Sans" w:cs="Noto Sans"/>
      <w:sz w:val="16"/>
      <w:szCs w:val="16"/>
      <w:lang w:val="es-ES_tradnl"/>
    </w:rPr>
  </w:style>
  <w:style w:type="paragraph" w:customStyle="1" w:styleId="ReportParaIndent">
    <w:name w:val="Report Para Indent"/>
    <w:basedOn w:val="ReportPara"/>
    <w:uiPriority w:val="4"/>
    <w:qFormat/>
    <w:rsid w:val="00EB1868"/>
    <w:pPr>
      <w:ind w:left="567"/>
    </w:pPr>
  </w:style>
  <w:style w:type="numbering" w:customStyle="1" w:styleId="ParaNumletterlist">
    <w:name w:val="ParaNum &amp; letter list"/>
    <w:uiPriority w:val="99"/>
    <w:rsid w:val="006D4C4B"/>
    <w:pPr>
      <w:numPr>
        <w:numId w:val="8"/>
      </w:numPr>
    </w:pPr>
  </w:style>
  <w:style w:type="character" w:styleId="Hyperlink">
    <w:name w:val="Hyperlink"/>
    <w:basedOn w:val="DefaultParagraphFont"/>
    <w:uiPriority w:val="99"/>
    <w:rsid w:val="00153DDA"/>
    <w:rPr>
      <w:color w:val="0563C1" w:themeColor="hyperlink"/>
      <w:u w:val="single"/>
    </w:rPr>
  </w:style>
  <w:style w:type="paragraph" w:customStyle="1" w:styleId="ReportTableTitleS">
    <w:name w:val="Report Table Title S"/>
    <w:next w:val="ReportPara"/>
    <w:uiPriority w:val="13"/>
    <w:qFormat/>
    <w:rsid w:val="00D50555"/>
    <w:pPr>
      <w:keepNext/>
      <w:keepLines/>
      <w:numPr>
        <w:numId w:val="28"/>
      </w:numPr>
      <w:tabs>
        <w:tab w:val="left" w:pos="1474"/>
      </w:tabs>
      <w:spacing w:before="240" w:after="120" w:line="240" w:lineRule="auto"/>
    </w:pPr>
    <w:rPr>
      <w:rFonts w:ascii="Noto Sans" w:eastAsia="Noto Sans SC Regular" w:hAnsi="Noto Sans" w:cs="Noto Sans"/>
      <w:b/>
      <w:color w:val="1E2DBE"/>
      <w:sz w:val="20"/>
      <w:szCs w:val="20"/>
      <w:lang w:val="es-ES"/>
    </w:rPr>
  </w:style>
  <w:style w:type="paragraph" w:customStyle="1" w:styleId="ReportBoxTitleS">
    <w:name w:val="Report Box Title S"/>
    <w:basedOn w:val="ReportTableTitleS"/>
    <w:next w:val="ReportPara"/>
    <w:uiPriority w:val="11"/>
    <w:qFormat/>
    <w:rsid w:val="00445E8D"/>
    <w:pPr>
      <w:numPr>
        <w:numId w:val="27"/>
      </w:numPr>
      <w:tabs>
        <w:tab w:val="clear" w:pos="1474"/>
        <w:tab w:val="left" w:pos="1701"/>
      </w:tabs>
    </w:pPr>
  </w:style>
  <w:style w:type="numbering" w:customStyle="1" w:styleId="Reporttitle">
    <w:name w:val="Report title"/>
    <w:uiPriority w:val="99"/>
    <w:rsid w:val="00F1457C"/>
    <w:pPr>
      <w:numPr>
        <w:numId w:val="9"/>
      </w:numPr>
    </w:pPr>
  </w:style>
  <w:style w:type="numbering" w:customStyle="1" w:styleId="Chapters">
    <w:name w:val="Chapters"/>
    <w:uiPriority w:val="99"/>
    <w:rsid w:val="00F1457C"/>
    <w:pPr>
      <w:numPr>
        <w:numId w:val="10"/>
      </w:numPr>
    </w:pPr>
  </w:style>
  <w:style w:type="numbering" w:customStyle="1" w:styleId="Table-Box-Graphictitle">
    <w:name w:val="Table-Box-Graphic title"/>
    <w:uiPriority w:val="99"/>
    <w:rsid w:val="005230B7"/>
    <w:pPr>
      <w:numPr>
        <w:numId w:val="14"/>
      </w:numPr>
    </w:pPr>
  </w:style>
  <w:style w:type="numbering" w:customStyle="1" w:styleId="Bulletlists">
    <w:name w:val="Bullet lists"/>
    <w:uiPriority w:val="99"/>
    <w:rsid w:val="005230B7"/>
    <w:pPr>
      <w:numPr>
        <w:numId w:val="15"/>
      </w:numPr>
    </w:pPr>
  </w:style>
  <w:style w:type="numbering" w:customStyle="1" w:styleId="Appendix">
    <w:name w:val="Appendix"/>
    <w:uiPriority w:val="99"/>
    <w:rsid w:val="00673C3F"/>
    <w:pPr>
      <w:numPr>
        <w:numId w:val="18"/>
      </w:numPr>
    </w:pPr>
  </w:style>
  <w:style w:type="paragraph" w:customStyle="1" w:styleId="ReportIndentblackbulletlist1Appendix">
    <w:name w:val="Report Indent black bullet list 1 (Appendix)"/>
    <w:basedOn w:val="ReportIndentbluebulletlist1"/>
    <w:uiPriority w:val="8"/>
    <w:qFormat/>
    <w:rsid w:val="001304FC"/>
    <w:pPr>
      <w:numPr>
        <w:numId w:val="20"/>
      </w:numPr>
      <w:contextualSpacing w:val="0"/>
    </w:pPr>
  </w:style>
  <w:style w:type="paragraph" w:customStyle="1" w:styleId="ReportIndentblackbulletlist2Appendix">
    <w:name w:val="Report Indent black bullet list 2 (Appendix)"/>
    <w:basedOn w:val="ReportIndentbluebulletlist2"/>
    <w:uiPriority w:val="8"/>
    <w:qFormat/>
    <w:rsid w:val="001304FC"/>
    <w:pPr>
      <w:numPr>
        <w:numId w:val="20"/>
      </w:numPr>
      <w:contextualSpacing w:val="0"/>
    </w:pPr>
  </w:style>
  <w:style w:type="numbering" w:customStyle="1" w:styleId="Appendixbulletlists">
    <w:name w:val="Appendix bullet lists"/>
    <w:uiPriority w:val="99"/>
    <w:rsid w:val="008A3145"/>
    <w:pPr>
      <w:numPr>
        <w:numId w:val="19"/>
      </w:numPr>
    </w:pPr>
  </w:style>
  <w:style w:type="paragraph" w:styleId="TableofFigures">
    <w:name w:val="table of figures"/>
    <w:basedOn w:val="Normal"/>
    <w:next w:val="Normal"/>
    <w:uiPriority w:val="99"/>
    <w:semiHidden/>
    <w:rsid w:val="004F66BB"/>
    <w:pPr>
      <w:spacing w:after="0"/>
    </w:pPr>
  </w:style>
  <w:style w:type="numbering" w:customStyle="1" w:styleId="Boxlist">
    <w:name w:val="Box list"/>
    <w:uiPriority w:val="99"/>
    <w:rsid w:val="00AD357F"/>
    <w:pPr>
      <w:numPr>
        <w:numId w:val="23"/>
      </w:numPr>
    </w:pPr>
  </w:style>
  <w:style w:type="paragraph" w:customStyle="1" w:styleId="ReportParaNum">
    <w:name w:val="Report ParaNum"/>
    <w:uiPriority w:val="4"/>
    <w:qFormat/>
    <w:rsid w:val="008035D6"/>
    <w:pPr>
      <w:numPr>
        <w:numId w:val="12"/>
      </w:numPr>
      <w:spacing w:before="120" w:after="120" w:line="240" w:lineRule="auto"/>
      <w:jc w:val="both"/>
    </w:pPr>
    <w:rPr>
      <w:rFonts w:ascii="Noto Sans" w:eastAsia="Noto Sans SC Regular" w:hAnsi="Noto Sans" w:cs="Noto Sans"/>
      <w:sz w:val="20"/>
      <w:szCs w:val="20"/>
      <w:lang w:val="es-ES_tradnl"/>
    </w:rPr>
  </w:style>
  <w:style w:type="paragraph" w:customStyle="1" w:styleId="ReportAcronym">
    <w:name w:val="Report Acronym"/>
    <w:link w:val="ReportAcronymChar"/>
    <w:uiPriority w:val="17"/>
    <w:rsid w:val="00055356"/>
    <w:pPr>
      <w:numPr>
        <w:numId w:val="5"/>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es-ES_tradnl"/>
    </w:rPr>
  </w:style>
  <w:style w:type="character" w:customStyle="1" w:styleId="ReportAcronymChar">
    <w:name w:val="Report Acronym Char"/>
    <w:basedOn w:val="DefaultParagraphFont"/>
    <w:link w:val="ReportAcronym"/>
    <w:uiPriority w:val="17"/>
    <w:rsid w:val="00055356"/>
    <w:rPr>
      <w:rFonts w:ascii="Noto Sans" w:eastAsia="Noto Sans SC Regular" w:hAnsi="Noto Sans" w:cs="Noto Sans"/>
      <w:color w:val="FFFFFF" w:themeColor="background1"/>
      <w:sz w:val="21"/>
      <w:szCs w:val="21"/>
      <w:shd w:val="clear" w:color="auto" w:fill="1E2DBE"/>
      <w:lang w:val="es-ES_tradnl"/>
    </w:rPr>
  </w:style>
  <w:style w:type="paragraph" w:customStyle="1" w:styleId="ReportGraphicNoteSource">
    <w:name w:val="Report Graphic NoteSource"/>
    <w:basedOn w:val="ReportParaIndent"/>
    <w:next w:val="ReportPara"/>
    <w:uiPriority w:val="10"/>
    <w:qFormat/>
    <w:rsid w:val="00055356"/>
    <w:pPr>
      <w:spacing w:after="240"/>
    </w:pPr>
    <w:rPr>
      <w:sz w:val="15"/>
      <w:szCs w:val="15"/>
    </w:rPr>
  </w:style>
  <w:style w:type="paragraph" w:customStyle="1" w:styleId="ReportGraphicTitleS">
    <w:name w:val="Report Graphic Title S"/>
    <w:basedOn w:val="ReportTableTitleS"/>
    <w:next w:val="ReportPara"/>
    <w:uiPriority w:val="9"/>
    <w:qFormat/>
    <w:rsid w:val="00445E8D"/>
    <w:pPr>
      <w:numPr>
        <w:numId w:val="16"/>
      </w:numPr>
    </w:pPr>
  </w:style>
  <w:style w:type="paragraph" w:customStyle="1" w:styleId="ReportHeading1Indent">
    <w:name w:val="Report Heading 1 Indent"/>
    <w:basedOn w:val="ReportHeading1"/>
    <w:next w:val="ReportPara"/>
    <w:uiPriority w:val="3"/>
    <w:qFormat/>
    <w:rsid w:val="00EB1868"/>
    <w:pPr>
      <w:ind w:left="567" w:hanging="567"/>
    </w:pPr>
  </w:style>
  <w:style w:type="paragraph" w:customStyle="1" w:styleId="ReportChapter">
    <w:name w:val="Report Chapter"/>
    <w:next w:val="ReportPara"/>
    <w:link w:val="ReportChapterChar"/>
    <w:uiPriority w:val="2"/>
    <w:qFormat/>
    <w:rsid w:val="008035D6"/>
    <w:pPr>
      <w:keepNext/>
      <w:numPr>
        <w:numId w:val="11"/>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s-ES_tradnl"/>
    </w:rPr>
  </w:style>
  <w:style w:type="character" w:customStyle="1" w:styleId="ReportChapterChar">
    <w:name w:val="Report Chapter Char"/>
    <w:basedOn w:val="DefaultParagraphFont"/>
    <w:link w:val="ReportChapter"/>
    <w:uiPriority w:val="2"/>
    <w:rsid w:val="008035D6"/>
    <w:rPr>
      <w:rFonts w:ascii="Overpass" w:eastAsia="Noto Sans SC Bold" w:hAnsi="Overpass" w:cs="Overpass"/>
      <w:b/>
      <w:color w:val="232DBE"/>
      <w:sz w:val="36"/>
      <w:szCs w:val="36"/>
      <w:u w:color="232DBE"/>
      <w:lang w:val="es-ES_tradnl"/>
    </w:rPr>
  </w:style>
  <w:style w:type="paragraph" w:customStyle="1" w:styleId="ReportHeading2">
    <w:name w:val="Report Heading 2"/>
    <w:next w:val="ReportPara"/>
    <w:link w:val="ReportHeading2Char"/>
    <w:uiPriority w:val="2"/>
    <w:qFormat/>
    <w:rsid w:val="008035D6"/>
    <w:pPr>
      <w:keepNext/>
      <w:spacing w:before="240" w:after="120" w:line="240" w:lineRule="auto"/>
      <w:outlineLvl w:val="1"/>
    </w:pPr>
    <w:rPr>
      <w:rFonts w:ascii="Overpass" w:eastAsia="Noto Sans SC Bold" w:hAnsi="Overpass" w:cs="Overpass"/>
      <w:b/>
      <w:bCs/>
      <w:color w:val="1E2DBE"/>
      <w:sz w:val="28"/>
      <w:szCs w:val="28"/>
      <w:lang w:val="es-ES_tradnl"/>
    </w:rPr>
  </w:style>
  <w:style w:type="character" w:customStyle="1" w:styleId="ReportHeading2Char">
    <w:name w:val="Report Heading 2 Char"/>
    <w:basedOn w:val="DefaultParagraphFont"/>
    <w:link w:val="ReportHeading2"/>
    <w:uiPriority w:val="2"/>
    <w:rsid w:val="008035D6"/>
    <w:rPr>
      <w:rFonts w:ascii="Overpass" w:eastAsia="Noto Sans SC Bold" w:hAnsi="Overpass" w:cs="Overpass"/>
      <w:b/>
      <w:bCs/>
      <w:color w:val="1E2DBE"/>
      <w:sz w:val="28"/>
      <w:szCs w:val="28"/>
      <w:lang w:val="es-ES_tradnl"/>
    </w:rPr>
  </w:style>
  <w:style w:type="paragraph" w:customStyle="1" w:styleId="ReportHeading2Indent">
    <w:name w:val="Report Heading 2 Indent"/>
    <w:basedOn w:val="ReportHeading2"/>
    <w:next w:val="ReportPara"/>
    <w:link w:val="ReportHeading2IndentChar"/>
    <w:uiPriority w:val="3"/>
    <w:qFormat/>
    <w:rsid w:val="00EB1868"/>
    <w:pPr>
      <w:keepLines/>
      <w:ind w:left="567" w:hanging="567"/>
    </w:pPr>
  </w:style>
  <w:style w:type="character" w:customStyle="1" w:styleId="ReportHeading2IndentChar">
    <w:name w:val="Report Heading 2 Indent Char"/>
    <w:basedOn w:val="DefaultParagraphFont"/>
    <w:link w:val="ReportHeading2Indent"/>
    <w:uiPriority w:val="3"/>
    <w:rsid w:val="00EB1868"/>
    <w:rPr>
      <w:rFonts w:ascii="Overpass" w:eastAsia="Noto Sans SC Bold" w:hAnsi="Overpass" w:cs="Overpass"/>
      <w:b/>
      <w:bCs/>
      <w:color w:val="1E2DBE"/>
      <w:sz w:val="28"/>
      <w:szCs w:val="28"/>
      <w:lang w:val="fr-FR"/>
    </w:rPr>
  </w:style>
  <w:style w:type="paragraph" w:customStyle="1" w:styleId="ReportHeading3">
    <w:name w:val="Report Heading 3"/>
    <w:next w:val="ReportPara"/>
    <w:link w:val="ReportHeading3Char"/>
    <w:uiPriority w:val="2"/>
    <w:qFormat/>
    <w:rsid w:val="008035D6"/>
    <w:pPr>
      <w:keepNext/>
      <w:spacing w:before="240" w:after="120" w:line="240" w:lineRule="auto"/>
      <w:outlineLvl w:val="2"/>
    </w:pPr>
    <w:rPr>
      <w:rFonts w:ascii="Overpass" w:eastAsia="Noto Sans SC Bold" w:hAnsi="Overpass" w:cs="Overpass"/>
      <w:b/>
      <w:bCs/>
      <w:color w:val="1E2DBE"/>
      <w:sz w:val="24"/>
      <w:szCs w:val="24"/>
      <w:lang w:val="es-ES_tradnl"/>
    </w:rPr>
  </w:style>
  <w:style w:type="character" w:customStyle="1" w:styleId="ReportHeading3Char">
    <w:name w:val="Report Heading 3 Char"/>
    <w:basedOn w:val="DefaultParagraphFont"/>
    <w:link w:val="ReportHeading3"/>
    <w:uiPriority w:val="2"/>
    <w:rsid w:val="008035D6"/>
    <w:rPr>
      <w:rFonts w:ascii="Overpass" w:eastAsia="Noto Sans SC Bold" w:hAnsi="Overpass" w:cs="Overpass"/>
      <w:b/>
      <w:bCs/>
      <w:color w:val="1E2DBE"/>
      <w:sz w:val="24"/>
      <w:szCs w:val="24"/>
      <w:lang w:val="es-ES_tradnl"/>
    </w:rPr>
  </w:style>
  <w:style w:type="paragraph" w:customStyle="1" w:styleId="ReportHeading3Indent">
    <w:name w:val="Report Heading 3 Indent"/>
    <w:basedOn w:val="ReportHeading3"/>
    <w:next w:val="ReportPara"/>
    <w:link w:val="ReportHeading3IndentChar"/>
    <w:uiPriority w:val="3"/>
    <w:qFormat/>
    <w:rsid w:val="00EB1868"/>
    <w:pPr>
      <w:ind w:left="567" w:hanging="567"/>
    </w:pPr>
  </w:style>
  <w:style w:type="character" w:customStyle="1" w:styleId="ReportHeading3IndentChar">
    <w:name w:val="Report Heading 3 Indent Char"/>
    <w:basedOn w:val="ReportHeading3Char"/>
    <w:link w:val="ReportHeading3Indent"/>
    <w:uiPriority w:val="3"/>
    <w:rsid w:val="00EB1868"/>
    <w:rPr>
      <w:rFonts w:ascii="Overpass" w:eastAsia="Noto Sans SC Bold" w:hAnsi="Overpass" w:cs="Overpass"/>
      <w:b/>
      <w:bCs/>
      <w:color w:val="1E2DBE"/>
      <w:sz w:val="24"/>
      <w:szCs w:val="24"/>
      <w:lang w:val="fr-FR"/>
    </w:rPr>
  </w:style>
  <w:style w:type="paragraph" w:customStyle="1" w:styleId="ReportHeading4">
    <w:name w:val="Report Heading 4"/>
    <w:next w:val="ReportPara"/>
    <w:link w:val="ReportHeading4Char"/>
    <w:uiPriority w:val="2"/>
    <w:qFormat/>
    <w:rsid w:val="008035D6"/>
    <w:pPr>
      <w:keepNext/>
      <w:spacing w:before="240" w:after="120" w:line="240" w:lineRule="auto"/>
      <w:outlineLvl w:val="3"/>
    </w:pPr>
    <w:rPr>
      <w:rFonts w:ascii="Overpass" w:eastAsia="Noto Sans SC Regular" w:hAnsi="Overpass" w:cs="Overpass"/>
      <w:b/>
      <w:bCs/>
      <w:color w:val="230050"/>
      <w:lang w:val="es-ES_tradnl"/>
    </w:rPr>
  </w:style>
  <w:style w:type="character" w:customStyle="1" w:styleId="ReportHeading4Char">
    <w:name w:val="Report Heading 4 Char"/>
    <w:basedOn w:val="DefaultParagraphFont"/>
    <w:link w:val="ReportHeading4"/>
    <w:uiPriority w:val="2"/>
    <w:rsid w:val="008035D6"/>
    <w:rPr>
      <w:rFonts w:ascii="Overpass" w:eastAsia="Noto Sans SC Regular" w:hAnsi="Overpass" w:cs="Overpass"/>
      <w:b/>
      <w:bCs/>
      <w:color w:val="230050"/>
      <w:lang w:val="es-ES_tradnl"/>
    </w:rPr>
  </w:style>
  <w:style w:type="paragraph" w:customStyle="1" w:styleId="ReportHeading4Indent">
    <w:name w:val="Report Heading 4 Indent"/>
    <w:basedOn w:val="ReportHeading4"/>
    <w:next w:val="ReportPara"/>
    <w:link w:val="ReportHeading4IndentChar"/>
    <w:uiPriority w:val="3"/>
    <w:qFormat/>
    <w:rsid w:val="00EB1868"/>
    <w:pPr>
      <w:ind w:left="567" w:hanging="567"/>
    </w:pPr>
  </w:style>
  <w:style w:type="character" w:customStyle="1" w:styleId="ReportHeading4IndentChar">
    <w:name w:val="Report Heading 4 Indent Char"/>
    <w:basedOn w:val="DefaultParagraphFont"/>
    <w:link w:val="ReportHeading4Indent"/>
    <w:uiPriority w:val="3"/>
    <w:rsid w:val="00EB1868"/>
    <w:rPr>
      <w:rFonts w:ascii="Overpass" w:eastAsia="Noto Sans SC Regular" w:hAnsi="Overpass" w:cs="Overpass"/>
      <w:b/>
      <w:bCs/>
      <w:color w:val="230050"/>
      <w:lang w:val="fr-FR"/>
    </w:rPr>
  </w:style>
  <w:style w:type="paragraph" w:customStyle="1" w:styleId="ReportHeading5">
    <w:name w:val="Report Heading 5"/>
    <w:next w:val="ReportPara"/>
    <w:link w:val="ReportHeading5Char"/>
    <w:uiPriority w:val="2"/>
    <w:qFormat/>
    <w:rsid w:val="008035D6"/>
    <w:pPr>
      <w:keepNext/>
      <w:spacing w:before="240" w:after="120" w:line="240" w:lineRule="auto"/>
      <w:outlineLvl w:val="4"/>
    </w:pPr>
    <w:rPr>
      <w:rFonts w:ascii="Overpass" w:eastAsia="Noto Sans SC Regular" w:hAnsi="Overpass" w:cs="Overpass"/>
      <w:color w:val="230050"/>
      <w:lang w:val="es-ES_tradnl"/>
    </w:rPr>
  </w:style>
  <w:style w:type="character" w:customStyle="1" w:styleId="ReportHeading5Char">
    <w:name w:val="Report Heading 5 Char"/>
    <w:basedOn w:val="DefaultParagraphFont"/>
    <w:link w:val="ReportHeading5"/>
    <w:uiPriority w:val="2"/>
    <w:rsid w:val="008035D6"/>
    <w:rPr>
      <w:rFonts w:ascii="Overpass" w:eastAsia="Noto Sans SC Regular" w:hAnsi="Overpass" w:cs="Overpass"/>
      <w:color w:val="230050"/>
      <w:lang w:val="es-ES_tradnl"/>
    </w:rPr>
  </w:style>
  <w:style w:type="paragraph" w:customStyle="1" w:styleId="ReportHeading5Indent">
    <w:name w:val="Report Heading 5 Indent"/>
    <w:basedOn w:val="ReportHeading5"/>
    <w:next w:val="ReportPara"/>
    <w:link w:val="ReportHeading5IndentChar"/>
    <w:uiPriority w:val="3"/>
    <w:qFormat/>
    <w:rsid w:val="00EB1868"/>
    <w:pPr>
      <w:ind w:left="567" w:hanging="567"/>
    </w:pPr>
  </w:style>
  <w:style w:type="character" w:customStyle="1" w:styleId="ReportHeading5IndentChar">
    <w:name w:val="Report Heading 5 Indent Char"/>
    <w:basedOn w:val="DefaultParagraphFont"/>
    <w:link w:val="ReportHeading5Indent"/>
    <w:uiPriority w:val="3"/>
    <w:rsid w:val="00EB1868"/>
    <w:rPr>
      <w:rFonts w:ascii="Overpass" w:eastAsia="Noto Sans SC Regular" w:hAnsi="Overpass" w:cs="Overpass"/>
      <w:color w:val="230050"/>
      <w:lang w:val="fr-FR"/>
    </w:rPr>
  </w:style>
  <w:style w:type="character" w:customStyle="1" w:styleId="ReportHyperlink">
    <w:name w:val="Report Hyperlink"/>
    <w:uiPriority w:val="5"/>
    <w:qFormat/>
    <w:rsid w:val="008035D6"/>
    <w:rPr>
      <w:rFonts w:ascii="Noto Sans" w:eastAsia="Noto Sans SC Regular" w:hAnsi="Noto Sans" w:cs="Noto Sans"/>
      <w:color w:val="1E2DBE"/>
      <w:lang w:val="es-ES_tradnl"/>
    </w:rPr>
  </w:style>
  <w:style w:type="paragraph" w:customStyle="1" w:styleId="ReportIndent1">
    <w:name w:val="Report Indent 1"/>
    <w:basedOn w:val="ReportPara"/>
    <w:link w:val="ReportIndent1Char"/>
    <w:uiPriority w:val="6"/>
    <w:qFormat/>
    <w:rsid w:val="00EB1868"/>
    <w:pPr>
      <w:ind w:left="1021" w:hanging="454"/>
    </w:pPr>
  </w:style>
  <w:style w:type="character" w:customStyle="1" w:styleId="ReportIndent1Char">
    <w:name w:val="Report Indent 1 Char"/>
    <w:basedOn w:val="DefaultParagraphFont"/>
    <w:link w:val="ReportIndent1"/>
    <w:uiPriority w:val="6"/>
    <w:rsid w:val="00EB1868"/>
    <w:rPr>
      <w:rFonts w:ascii="Noto Sans" w:eastAsia="Noto Sans SC Regular" w:hAnsi="Noto Sans" w:cs="Noto Sans"/>
      <w:sz w:val="20"/>
      <w:szCs w:val="20"/>
      <w:lang w:val="fr-FR"/>
    </w:rPr>
  </w:style>
  <w:style w:type="paragraph" w:customStyle="1" w:styleId="ReportIndent2">
    <w:name w:val="Report Indent 2"/>
    <w:basedOn w:val="ReportIndent1"/>
    <w:link w:val="ReportIndent2Char"/>
    <w:uiPriority w:val="6"/>
    <w:qFormat/>
    <w:rsid w:val="00EB1868"/>
    <w:pPr>
      <w:ind w:left="1531" w:hanging="510"/>
    </w:pPr>
  </w:style>
  <w:style w:type="character" w:customStyle="1" w:styleId="ReportIndent2Char">
    <w:name w:val="Report Indent 2 Char"/>
    <w:basedOn w:val="DefaultParagraphFont"/>
    <w:link w:val="ReportIndent2"/>
    <w:uiPriority w:val="6"/>
    <w:rsid w:val="00EB1868"/>
    <w:rPr>
      <w:rFonts w:ascii="Noto Sans" w:eastAsia="Noto Sans SC Regular" w:hAnsi="Noto Sans" w:cs="Noto Sans"/>
      <w:sz w:val="20"/>
      <w:szCs w:val="20"/>
      <w:lang w:val="fr-FR"/>
    </w:rPr>
  </w:style>
  <w:style w:type="paragraph" w:customStyle="1" w:styleId="ReportIndentbluebulletlist1">
    <w:name w:val="Report Indent blue bullet list 1"/>
    <w:basedOn w:val="ReportPara"/>
    <w:uiPriority w:val="7"/>
    <w:qFormat/>
    <w:rsid w:val="00EB1868"/>
    <w:pPr>
      <w:numPr>
        <w:numId w:val="21"/>
      </w:numPr>
      <w:contextualSpacing/>
    </w:pPr>
  </w:style>
  <w:style w:type="paragraph" w:customStyle="1" w:styleId="ReportIndentbluebulletlist2">
    <w:name w:val="Report Indent blue bullet list 2"/>
    <w:basedOn w:val="ReportIndentbluebulletlist1"/>
    <w:link w:val="ReportIndentbluebulletlist2Char"/>
    <w:uiPriority w:val="7"/>
    <w:qFormat/>
    <w:rsid w:val="00FD00B9"/>
    <w:pPr>
      <w:numPr>
        <w:ilvl w:val="1"/>
        <w:numId w:val="22"/>
      </w:numPr>
    </w:pPr>
  </w:style>
  <w:style w:type="character" w:customStyle="1" w:styleId="ReportIndentbluebulletlist2Char">
    <w:name w:val="Report Indent blue bullet list 2 Char"/>
    <w:basedOn w:val="DefaultParagraphFont"/>
    <w:link w:val="ReportIndentbluebulletlist2"/>
    <w:uiPriority w:val="7"/>
    <w:rsid w:val="00FD00B9"/>
    <w:rPr>
      <w:rFonts w:ascii="Noto Sans" w:eastAsia="Noto Sans SC Regular" w:hAnsi="Noto Sans" w:cs="Noto Sans"/>
      <w:sz w:val="20"/>
      <w:szCs w:val="20"/>
      <w:lang w:val="fr-FR"/>
    </w:rPr>
  </w:style>
  <w:style w:type="paragraph" w:customStyle="1" w:styleId="ReportIndentletterlist1S">
    <w:name w:val="Report Indent letter list 1 S"/>
    <w:basedOn w:val="ReportPara"/>
    <w:uiPriority w:val="6"/>
    <w:qFormat/>
    <w:rsid w:val="006D4C4B"/>
    <w:pPr>
      <w:numPr>
        <w:ilvl w:val="1"/>
        <w:numId w:val="24"/>
      </w:numPr>
    </w:pPr>
  </w:style>
  <w:style w:type="paragraph" w:customStyle="1" w:styleId="ReportIndentletterlist2S">
    <w:name w:val="Report Indent letter list 2 S"/>
    <w:basedOn w:val="ReportIndentletterlist1S"/>
    <w:uiPriority w:val="6"/>
    <w:qFormat/>
    <w:rsid w:val="006D4C4B"/>
    <w:pPr>
      <w:numPr>
        <w:ilvl w:val="2"/>
        <w:numId w:val="25"/>
      </w:numPr>
    </w:pPr>
  </w:style>
  <w:style w:type="paragraph" w:customStyle="1" w:styleId="ReportInstrumentArticle">
    <w:name w:val="Report Instrument Article"/>
    <w:next w:val="ReportInstrumentPara"/>
    <w:uiPriority w:val="8"/>
    <w:qFormat/>
    <w:rsid w:val="008035D6"/>
    <w:pPr>
      <w:keepNext/>
      <w:keepLines/>
      <w:spacing w:before="120" w:after="120" w:line="240" w:lineRule="auto"/>
      <w:ind w:left="1701"/>
      <w:jc w:val="center"/>
    </w:pPr>
    <w:rPr>
      <w:rFonts w:ascii="Overpass" w:eastAsia="Noto Sans SC Regular" w:hAnsi="Overpass" w:cs="Overpass"/>
      <w:i/>
      <w:iCs/>
      <w:sz w:val="20"/>
      <w:szCs w:val="20"/>
      <w:lang w:val="es-ES_tradnl"/>
    </w:rPr>
  </w:style>
  <w:style w:type="paragraph" w:customStyle="1" w:styleId="ReportInstrumentPara">
    <w:name w:val="Report Instrument Para"/>
    <w:basedOn w:val="ReportPara"/>
    <w:uiPriority w:val="8"/>
    <w:qFormat/>
    <w:rsid w:val="00FD00B9"/>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8035D6"/>
    <w:pPr>
      <w:numPr>
        <w:numId w:val="6"/>
      </w:numPr>
      <w:spacing w:before="120" w:after="120" w:line="240" w:lineRule="auto"/>
      <w:jc w:val="both"/>
    </w:pPr>
    <w:rPr>
      <w:rFonts w:ascii="Noto Sans" w:eastAsia="Noto Sans SC Regular" w:hAnsi="Noto Sans" w:cs="Noto Sans"/>
      <w:sz w:val="20"/>
      <w:szCs w:val="20"/>
      <w:lang w:val="es-ES_tradnl"/>
    </w:rPr>
  </w:style>
  <w:style w:type="paragraph" w:customStyle="1" w:styleId="TableHeaderLeft">
    <w:name w:val="Table Header Left"/>
    <w:link w:val="TableHeaderLeftChar"/>
    <w:uiPriority w:val="14"/>
    <w:qFormat/>
    <w:rsid w:val="00055356"/>
    <w:pPr>
      <w:shd w:val="clear" w:color="auto" w:fill="1E2DBE"/>
      <w:spacing w:before="20" w:after="20" w:line="240" w:lineRule="auto"/>
    </w:pPr>
    <w:rPr>
      <w:rFonts w:ascii="Noto Sans" w:eastAsia="Noto Sans SC Regular" w:hAnsi="Noto Sans" w:cs="Noto Sans"/>
      <w:b/>
      <w:bCs/>
      <w:color w:val="FFFFFF" w:themeColor="background1"/>
      <w:sz w:val="18"/>
      <w:szCs w:val="18"/>
      <w:lang w:val="es-ES_tradnl" w:eastAsia="en-GB"/>
    </w:rPr>
  </w:style>
  <w:style w:type="character" w:customStyle="1" w:styleId="TableHeaderLeftChar">
    <w:name w:val="Table Header Left Char"/>
    <w:basedOn w:val="DefaultParagraphFont"/>
    <w:link w:val="TableHeaderLeft"/>
    <w:uiPriority w:val="14"/>
    <w:rsid w:val="00055356"/>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HeaderRight">
    <w:name w:val="Table Header Right"/>
    <w:link w:val="TableHeaderRightChar"/>
    <w:uiPriority w:val="14"/>
    <w:qFormat/>
    <w:rsid w:val="00055356"/>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s-ES_tradnl" w:eastAsia="en-GB"/>
    </w:rPr>
  </w:style>
  <w:style w:type="character" w:customStyle="1" w:styleId="TableHeaderRightChar">
    <w:name w:val="Table Header Right Char"/>
    <w:basedOn w:val="DefaultParagraphFont"/>
    <w:link w:val="TableHeaderRight"/>
    <w:uiPriority w:val="14"/>
    <w:rsid w:val="00055356"/>
    <w:rPr>
      <w:rFonts w:ascii="Noto Sans" w:eastAsia="Noto Sans SC Regular" w:hAnsi="Noto Sans" w:cs="Noto Sans"/>
      <w:b/>
      <w:bCs/>
      <w:color w:val="FFFFFF" w:themeColor="background1"/>
      <w:sz w:val="18"/>
      <w:szCs w:val="18"/>
      <w:shd w:val="clear" w:color="auto" w:fill="1E2DBE"/>
      <w:lang w:val="es-ES_tradnl" w:eastAsia="en-GB"/>
    </w:rPr>
  </w:style>
  <w:style w:type="paragraph" w:customStyle="1" w:styleId="TableTextLeft">
    <w:name w:val="Table Text Left"/>
    <w:link w:val="TableTextLeftChar"/>
    <w:uiPriority w:val="14"/>
    <w:qFormat/>
    <w:rsid w:val="00055356"/>
    <w:pPr>
      <w:spacing w:before="20" w:after="20" w:line="240" w:lineRule="auto"/>
    </w:pPr>
    <w:rPr>
      <w:rFonts w:ascii="Noto Sans" w:eastAsia="Noto Sans SC Regular" w:hAnsi="Noto Sans" w:cs="Noto Sans"/>
      <w:sz w:val="18"/>
      <w:szCs w:val="18"/>
      <w:lang w:val="es-ES_tradnl"/>
    </w:rPr>
  </w:style>
  <w:style w:type="character" w:customStyle="1" w:styleId="TableTextLeftChar">
    <w:name w:val="Table Text Left Char"/>
    <w:basedOn w:val="DefaultParagraphFont"/>
    <w:link w:val="TableTextLeft"/>
    <w:uiPriority w:val="14"/>
    <w:rsid w:val="00055356"/>
    <w:rPr>
      <w:rFonts w:ascii="Noto Sans" w:eastAsia="Noto Sans SC Regular" w:hAnsi="Noto Sans" w:cs="Noto Sans"/>
      <w:sz w:val="18"/>
      <w:szCs w:val="18"/>
      <w:lang w:val="es-ES_tradnl"/>
    </w:rPr>
  </w:style>
  <w:style w:type="paragraph" w:customStyle="1" w:styleId="TableTextRight">
    <w:name w:val="Table Text Right"/>
    <w:link w:val="TableTextRightChar"/>
    <w:uiPriority w:val="14"/>
    <w:qFormat/>
    <w:rsid w:val="00055356"/>
    <w:pPr>
      <w:spacing w:before="20" w:after="20" w:line="240" w:lineRule="auto"/>
      <w:jc w:val="right"/>
    </w:pPr>
    <w:rPr>
      <w:rFonts w:ascii="Noto Sans" w:eastAsia="Noto Sans SC Regular" w:hAnsi="Noto Sans" w:cs="Noto Sans"/>
      <w:sz w:val="18"/>
      <w:szCs w:val="18"/>
      <w:lang w:val="es-ES_tradnl"/>
    </w:rPr>
  </w:style>
  <w:style w:type="character" w:customStyle="1" w:styleId="TableTextRightChar">
    <w:name w:val="Table Text Right Char"/>
    <w:basedOn w:val="DefaultParagraphFont"/>
    <w:link w:val="TableTextRight"/>
    <w:uiPriority w:val="14"/>
    <w:rsid w:val="00055356"/>
    <w:rPr>
      <w:rFonts w:ascii="Noto Sans" w:eastAsia="Noto Sans SC Regular" w:hAnsi="Noto Sans" w:cs="Noto Sans"/>
      <w:sz w:val="18"/>
      <w:szCs w:val="18"/>
      <w:lang w:val="es-ES_tradnl"/>
    </w:rPr>
  </w:style>
  <w:style w:type="paragraph" w:customStyle="1" w:styleId="TableBoxNoteSource">
    <w:name w:val="TableBox NoteSource"/>
    <w:uiPriority w:val="12"/>
    <w:qFormat/>
    <w:rsid w:val="00055356"/>
    <w:pPr>
      <w:spacing w:before="120" w:after="20" w:line="240" w:lineRule="auto"/>
      <w:jc w:val="both"/>
    </w:pPr>
    <w:rPr>
      <w:rFonts w:ascii="Noto Sans" w:eastAsia="Noto Sans SC Regular" w:hAnsi="Noto Sans" w:cs="Noto Sans"/>
      <w:sz w:val="15"/>
      <w:szCs w:val="15"/>
      <w:lang w:val="es-ES_tradnl"/>
    </w:rPr>
  </w:style>
  <w:style w:type="paragraph" w:customStyle="1" w:styleId="TableBoxrowempty">
    <w:name w:val="TableBox row empty"/>
    <w:uiPriority w:val="12"/>
    <w:rsid w:val="00055356"/>
    <w:pPr>
      <w:spacing w:after="0" w:line="240" w:lineRule="auto"/>
      <w:jc w:val="both"/>
    </w:pPr>
    <w:rPr>
      <w:rFonts w:ascii="Noto Sans" w:eastAsia="Noto Sans SC Regular" w:hAnsi="Noto Sans" w:cs="Noto Sans"/>
      <w:sz w:val="2"/>
      <w:szCs w:val="2"/>
      <w:lang w:val="es-ES_tradnl"/>
    </w:rPr>
  </w:style>
  <w:style w:type="paragraph" w:styleId="TOC1">
    <w:name w:val="toc 1"/>
    <w:next w:val="TOC2"/>
    <w:uiPriority w:val="39"/>
    <w:qFormat/>
    <w:rsid w:val="00434512"/>
    <w:pPr>
      <w:tabs>
        <w:tab w:val="left" w:pos="680"/>
        <w:tab w:val="right" w:leader="dot" w:pos="8959"/>
        <w:tab w:val="right" w:pos="9639"/>
      </w:tabs>
      <w:spacing w:before="120" w:after="120" w:line="240" w:lineRule="auto"/>
      <w:ind w:left="340"/>
    </w:pPr>
    <w:rPr>
      <w:rFonts w:ascii="Noto Sans" w:eastAsia="Noto Sans SC Regular" w:hAnsi="Noto Sans" w:cs="Noto Sans"/>
      <w:sz w:val="20"/>
      <w:szCs w:val="20"/>
      <w:lang w:val="es-ES_tradnl" w:eastAsia="zh-CN"/>
    </w:rPr>
  </w:style>
  <w:style w:type="paragraph" w:styleId="TOC2">
    <w:name w:val="toc 2"/>
    <w:basedOn w:val="TOC1"/>
    <w:uiPriority w:val="39"/>
    <w:qFormat/>
    <w:rsid w:val="00434512"/>
    <w:pPr>
      <w:tabs>
        <w:tab w:val="clear" w:pos="680"/>
        <w:tab w:val="left" w:pos="1134"/>
        <w:tab w:val="left" w:pos="1559"/>
      </w:tabs>
      <w:ind w:left="680"/>
    </w:pPr>
  </w:style>
  <w:style w:type="paragraph" w:styleId="TOC3">
    <w:name w:val="toc 3"/>
    <w:basedOn w:val="TOC1"/>
    <w:uiPriority w:val="39"/>
    <w:qFormat/>
    <w:rsid w:val="00434512"/>
    <w:pPr>
      <w:tabs>
        <w:tab w:val="left" w:pos="1701"/>
      </w:tabs>
      <w:ind w:left="1134"/>
    </w:pPr>
  </w:style>
  <w:style w:type="paragraph" w:customStyle="1" w:styleId="TOCpage">
    <w:name w:val="TOC page"/>
    <w:uiPriority w:val="39"/>
    <w:qFormat/>
    <w:rsid w:val="00D733D7"/>
    <w:pPr>
      <w:keepNext/>
      <w:keepLines/>
      <w:spacing w:before="120" w:after="120" w:line="240" w:lineRule="auto"/>
      <w:jc w:val="right"/>
    </w:pPr>
    <w:rPr>
      <w:rFonts w:ascii="Noto Sans" w:eastAsia="Noto Sans" w:hAnsi="Noto Sans" w:cs="Noto Sans"/>
      <w:b/>
      <w:bCs/>
      <w:color w:val="230050"/>
      <w:sz w:val="18"/>
      <w:szCs w:val="18"/>
      <w:lang w:val="es-ES_tradnl" w:eastAsia="zh-CN"/>
    </w:rPr>
  </w:style>
  <w:style w:type="paragraph" w:customStyle="1" w:styleId="ReportAuthors">
    <w:name w:val="Report Authors"/>
    <w:rsid w:val="006C084B"/>
    <w:pPr>
      <w:spacing w:after="0" w:line="240" w:lineRule="auto"/>
    </w:pPr>
    <w:rPr>
      <w:rFonts w:ascii="Overpass" w:eastAsia="Noto Sans SC Bold" w:hAnsi="Overpass" w:cs="Overpass"/>
      <w:b/>
      <w:bCs/>
      <w:color w:val="1E2DBE"/>
      <w:sz w:val="20"/>
      <w:szCs w:val="20"/>
      <w:lang w:val="es-ES_tradnl"/>
    </w:rPr>
  </w:style>
  <w:style w:type="paragraph" w:customStyle="1" w:styleId="ReportHeading1">
    <w:name w:val="Report Heading 1"/>
    <w:next w:val="ReportPara"/>
    <w:uiPriority w:val="2"/>
    <w:qFormat/>
    <w:rsid w:val="008035D6"/>
    <w:pPr>
      <w:keepNext/>
      <w:spacing w:before="240" w:after="120" w:line="240" w:lineRule="auto"/>
      <w:outlineLvl w:val="0"/>
    </w:pPr>
    <w:rPr>
      <w:rFonts w:ascii="Overpass" w:eastAsia="Noto Sans SC Bold" w:hAnsi="Overpass" w:cs="Overpass"/>
      <w:b/>
      <w:bCs/>
      <w:color w:val="FA3C4B"/>
      <w:sz w:val="32"/>
      <w:szCs w:val="32"/>
      <w:lang w:val="es-ES_tradnl"/>
    </w:rPr>
  </w:style>
  <w:style w:type="paragraph" w:customStyle="1" w:styleId="ReportHeaderReportTitleevenpage">
    <w:name w:val="Report Header Report Title even page"/>
    <w:uiPriority w:val="16"/>
    <w:rsid w:val="00055356"/>
    <w:pPr>
      <w:spacing w:after="0" w:line="240" w:lineRule="auto"/>
      <w:jc w:val="right"/>
    </w:pPr>
    <w:rPr>
      <w:rFonts w:ascii="Noto Sans" w:eastAsia="Noto Sans SC Regular" w:hAnsi="Noto Sans" w:cs="Noto Sans"/>
      <w:b/>
      <w:bCs/>
      <w:color w:val="1E2DBE"/>
      <w:sz w:val="12"/>
      <w:szCs w:val="12"/>
      <w:lang w:val="es-ES_tradnl"/>
    </w:rPr>
  </w:style>
  <w:style w:type="paragraph" w:customStyle="1" w:styleId="ReportHeaderChapterTitleoddpage">
    <w:name w:val="Report Header Chapter Title odd page"/>
    <w:uiPriority w:val="16"/>
    <w:rsid w:val="00055356"/>
    <w:pPr>
      <w:spacing w:after="0" w:line="240" w:lineRule="auto"/>
    </w:pPr>
    <w:rPr>
      <w:rFonts w:ascii="Noto Sans" w:eastAsia="Noto Sans SC Regular" w:hAnsi="Noto Sans" w:cs="Noto Sans"/>
      <w:color w:val="1E2DBE"/>
      <w:sz w:val="12"/>
      <w:szCs w:val="12"/>
      <w:lang w:val="es-ES_tradnl"/>
    </w:rPr>
  </w:style>
  <w:style w:type="paragraph" w:customStyle="1" w:styleId="ReportHeaderChapterTitleevenpage">
    <w:name w:val="Report Header Chapter Title even page"/>
    <w:basedOn w:val="ReportHeaderChapterTitleoddpage"/>
    <w:uiPriority w:val="16"/>
    <w:rsid w:val="00FD00B9"/>
    <w:pPr>
      <w:jc w:val="right"/>
    </w:pPr>
  </w:style>
  <w:style w:type="paragraph" w:customStyle="1" w:styleId="ReportHeaderReportTitleoddpage">
    <w:name w:val="Report Header Report Title odd page"/>
    <w:basedOn w:val="ReportHeaderReportTitleevenpage"/>
    <w:uiPriority w:val="16"/>
    <w:rsid w:val="00FD00B9"/>
    <w:pPr>
      <w:jc w:val="left"/>
    </w:pPr>
  </w:style>
  <w:style w:type="paragraph" w:customStyle="1" w:styleId="ReportPageNumberright">
    <w:name w:val="Report PageNumber right"/>
    <w:uiPriority w:val="16"/>
    <w:rsid w:val="00055356"/>
    <w:pPr>
      <w:spacing w:after="0" w:line="240" w:lineRule="auto"/>
      <w:jc w:val="right"/>
    </w:pPr>
    <w:rPr>
      <w:rFonts w:ascii="Noto Sans" w:eastAsia="Noto Sans SC Regular" w:hAnsi="Noto Sans" w:cs="Noto Sans"/>
      <w:color w:val="1E2DBE"/>
      <w:lang w:val="es-ES_tradnl"/>
    </w:rPr>
  </w:style>
  <w:style w:type="paragraph" w:customStyle="1" w:styleId="ReportPageNumberleft">
    <w:name w:val="Report PageNumber left"/>
    <w:basedOn w:val="ReportPageNumberright"/>
    <w:uiPriority w:val="16"/>
    <w:rsid w:val="00FD00B9"/>
    <w:pPr>
      <w:jc w:val="left"/>
    </w:pPr>
  </w:style>
  <w:style w:type="paragraph" w:customStyle="1" w:styleId="ILCQuestionnaireReportQuestion">
    <w:name w:val="ILC Questionnaire Report Question"/>
    <w:basedOn w:val="ReportHeading4"/>
    <w:next w:val="ReportPara"/>
    <w:uiPriority w:val="4"/>
    <w:qFormat/>
    <w:rsid w:val="00EB1868"/>
    <w:pPr>
      <w:ind w:left="1588" w:hanging="1588"/>
      <w:jc w:val="both"/>
    </w:pPr>
    <w:rPr>
      <w:rFonts w:eastAsia="Noto Sans SC Bold"/>
    </w:rPr>
  </w:style>
  <w:style w:type="paragraph" w:customStyle="1" w:styleId="ILCReportSessionLabel">
    <w:name w:val="ILC Report Session Label"/>
    <w:uiPriority w:val="17"/>
    <w:rsid w:val="00055356"/>
    <w:pPr>
      <w:spacing w:before="40" w:after="40" w:line="240" w:lineRule="auto"/>
    </w:pPr>
    <w:rPr>
      <w:rFonts w:ascii="Noto Sans" w:eastAsia="Noto Sans SC Regular" w:hAnsi="Noto Sans" w:cs="Noto Sans"/>
      <w:color w:val="1E2DBE"/>
      <w:sz w:val="21"/>
      <w:szCs w:val="21"/>
      <w:lang w:val="es-ES_tradnl"/>
    </w:rPr>
  </w:style>
  <w:style w:type="paragraph" w:customStyle="1" w:styleId="ReportSub-Title">
    <w:name w:val="Report Sub-Title"/>
    <w:uiPriority w:val="1"/>
    <w:qFormat/>
    <w:rsid w:val="008035D6"/>
    <w:pPr>
      <w:spacing w:before="240" w:after="0" w:line="240" w:lineRule="auto"/>
    </w:pPr>
    <w:rPr>
      <w:rFonts w:ascii="Overpass Light" w:eastAsia="Noto Sans SC Regular" w:hAnsi="Overpass Light" w:cs="Overpass Light"/>
      <w:color w:val="230050"/>
      <w:sz w:val="40"/>
      <w:szCs w:val="40"/>
      <w:lang w:val="es-ES_tradnl"/>
    </w:rPr>
  </w:style>
  <w:style w:type="paragraph" w:customStyle="1" w:styleId="ReportTitle0">
    <w:name w:val="Report Title"/>
    <w:qFormat/>
    <w:rsid w:val="008035D6"/>
    <w:pPr>
      <w:numPr>
        <w:numId w:val="7"/>
      </w:numPr>
      <w:spacing w:before="480" w:after="0" w:line="240" w:lineRule="auto"/>
    </w:pPr>
    <w:rPr>
      <w:rFonts w:ascii="Overpass" w:eastAsia="Noto Sans SC Bold" w:hAnsi="Overpass" w:cs="Overpass"/>
      <w:b/>
      <w:bCs/>
      <w:color w:val="230050"/>
      <w:sz w:val="52"/>
      <w:szCs w:val="52"/>
      <w:lang w:val="es-ES_tradnl"/>
    </w:rPr>
  </w:style>
  <w:style w:type="paragraph" w:customStyle="1" w:styleId="ReportTypItem">
    <w:name w:val="Report Typ &amp; Item"/>
    <w:rsid w:val="006C084B"/>
    <w:pPr>
      <w:spacing w:before="120" w:after="120" w:line="240" w:lineRule="auto"/>
    </w:pPr>
    <w:rPr>
      <w:rFonts w:ascii="Overpass" w:eastAsia="Noto Sans SC Bold" w:hAnsi="Overpass" w:cs="Overpass"/>
      <w:b/>
      <w:bCs/>
      <w:color w:val="1E2DBE"/>
      <w:sz w:val="24"/>
      <w:szCs w:val="24"/>
      <w:lang w:val="es-ES_tradnl"/>
    </w:rPr>
  </w:style>
  <w:style w:type="paragraph" w:customStyle="1" w:styleId="ReportCopyright">
    <w:name w:val="Report Copyright"/>
    <w:uiPriority w:val="17"/>
    <w:rsid w:val="00055356"/>
    <w:pPr>
      <w:spacing w:after="60" w:line="240" w:lineRule="auto"/>
      <w:jc w:val="both"/>
    </w:pPr>
    <w:rPr>
      <w:rFonts w:ascii="Noto Sans" w:eastAsia="Noto Sans SC Regular" w:hAnsi="Noto Sans" w:cs="Noto Sans"/>
      <w:sz w:val="18"/>
      <w:szCs w:val="18"/>
      <w:lang w:val="es-ES_tradnl"/>
    </w:rPr>
  </w:style>
  <w:style w:type="paragraph" w:customStyle="1" w:styleId="ReportCopyrightISBN">
    <w:name w:val="Report Copyright ISBN"/>
    <w:basedOn w:val="ReportCopyright"/>
    <w:uiPriority w:val="17"/>
    <w:rsid w:val="00D960EF"/>
    <w:pPr>
      <w:spacing w:after="0"/>
      <w:jc w:val="left"/>
    </w:pPr>
  </w:style>
  <w:style w:type="paragraph" w:customStyle="1" w:styleId="ReportCopyrightPrint">
    <w:name w:val="Report Copyright Print"/>
    <w:basedOn w:val="ReportCopyright"/>
    <w:uiPriority w:val="17"/>
    <w:rsid w:val="007171CB"/>
    <w:pPr>
      <w:spacing w:after="0"/>
    </w:pPr>
    <w:rPr>
      <w:sz w:val="16"/>
      <w:szCs w:val="16"/>
    </w:rPr>
  </w:style>
  <w:style w:type="paragraph" w:customStyle="1" w:styleId="ReportPara">
    <w:name w:val="Report Para"/>
    <w:link w:val="ReportParaChar"/>
    <w:uiPriority w:val="4"/>
    <w:qFormat/>
    <w:rsid w:val="008035D6"/>
    <w:pPr>
      <w:spacing w:before="120" w:after="120" w:line="240" w:lineRule="auto"/>
      <w:jc w:val="both"/>
    </w:pPr>
    <w:rPr>
      <w:rFonts w:ascii="Noto Sans" w:eastAsia="Noto Sans SC Regular" w:hAnsi="Noto Sans" w:cs="Noto Sans"/>
      <w:sz w:val="20"/>
      <w:szCs w:val="20"/>
      <w:lang w:val="es-ES_tradnl"/>
    </w:rPr>
  </w:style>
  <w:style w:type="character" w:customStyle="1" w:styleId="ReportParaChar">
    <w:name w:val="Report Para Char"/>
    <w:basedOn w:val="DefaultParagraphFont"/>
    <w:link w:val="ReportPara"/>
    <w:uiPriority w:val="4"/>
    <w:rsid w:val="008035D6"/>
    <w:rPr>
      <w:rFonts w:ascii="Noto Sans" w:eastAsia="Noto Sans SC Regular" w:hAnsi="Noto Sans" w:cs="Noto Sans"/>
      <w:sz w:val="20"/>
      <w:szCs w:val="20"/>
      <w:lang w:val="es-ES_tradnl"/>
    </w:rPr>
  </w:style>
  <w:style w:type="paragraph" w:customStyle="1" w:styleId="ReportParaIndentFirstline">
    <w:name w:val="Report Para Indent First line"/>
    <w:basedOn w:val="ReportPara"/>
    <w:uiPriority w:val="4"/>
    <w:qFormat/>
    <w:rsid w:val="00EB1868"/>
    <w:pPr>
      <w:ind w:firstLine="567"/>
    </w:pPr>
  </w:style>
  <w:style w:type="character" w:styleId="UnresolvedMention">
    <w:name w:val="Unresolved Mention"/>
    <w:basedOn w:val="DefaultParagraphFont"/>
    <w:uiPriority w:val="99"/>
    <w:semiHidden/>
    <w:unhideWhenUsed/>
    <w:rsid w:val="000C76E1"/>
    <w:rPr>
      <w:color w:val="605E5C"/>
      <w:shd w:val="clear" w:color="auto" w:fill="E1DFDD"/>
    </w:rPr>
  </w:style>
  <w:style w:type="paragraph" w:customStyle="1" w:styleId="ReportIndentletterlist1E">
    <w:name w:val="Report Indent letter list 1 E"/>
    <w:basedOn w:val="ReportPara"/>
    <w:uiPriority w:val="6"/>
    <w:qFormat/>
    <w:rsid w:val="00187D2B"/>
    <w:pPr>
      <w:ind w:left="1021" w:hanging="454"/>
    </w:pPr>
    <w:rPr>
      <w:lang w:val="en-GB"/>
    </w:rPr>
  </w:style>
  <w:style w:type="paragraph" w:customStyle="1" w:styleId="ReportIndentletterlist2E">
    <w:name w:val="Report Indent letter list 2 E"/>
    <w:basedOn w:val="ReportIndentletterlist1E"/>
    <w:uiPriority w:val="6"/>
    <w:qFormat/>
    <w:rsid w:val="00187D2B"/>
    <w:pPr>
      <w:ind w:left="1531" w:hanging="510"/>
    </w:pPr>
  </w:style>
  <w:style w:type="table" w:styleId="TableGrid">
    <w:name w:val="Table Grid"/>
    <w:aliases w:val="GB Table Grid"/>
    <w:basedOn w:val="TableNormal"/>
    <w:uiPriority w:val="39"/>
    <w:rsid w:val="00187D2B"/>
    <w:pPr>
      <w:spacing w:before="120" w:after="0" w:line="240" w:lineRule="auto"/>
    </w:pPr>
    <w:rPr>
      <w:rFonts w:ascii="Noto Sans" w:eastAsia="Noto Sans SC Regular" w:hAnsi="Noto Sans" w:cs="Noto Sans"/>
      <w:color w:val="000000" w:themeColor="text1"/>
      <w:sz w:val="20"/>
      <w:szCs w:val="20"/>
      <w:lang w:val="en-GB"/>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customStyle="1" w:styleId="Heading1Char">
    <w:name w:val="Heading 1 Char"/>
    <w:basedOn w:val="DefaultParagraphFont"/>
    <w:link w:val="Heading1"/>
    <w:uiPriority w:val="24"/>
    <w:semiHidden/>
    <w:rsid w:val="00B3379A"/>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24"/>
    <w:semiHidden/>
    <w:rsid w:val="00B3379A"/>
    <w:rPr>
      <w:rFonts w:asciiTheme="majorHAnsi" w:eastAsiaTheme="majorEastAsia" w:hAnsiTheme="majorHAnsi" w:cstheme="majorBidi"/>
      <w:color w:val="2E74B5" w:themeColor="accent1" w:themeShade="BF"/>
      <w:sz w:val="26"/>
      <w:szCs w:val="26"/>
      <w:lang w:val="en-GB"/>
    </w:rPr>
  </w:style>
  <w:style w:type="character" w:styleId="PlaceholderText">
    <w:name w:val="Placeholder Text"/>
    <w:basedOn w:val="DefaultParagraphFont"/>
    <w:uiPriority w:val="99"/>
    <w:semiHidden/>
    <w:rsid w:val="00086E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ilo.org/global/publications/lang--es/index.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frro.org" TargetMode="External"/><Relationship Id="rId17" Type="http://schemas.openxmlformats.org/officeDocument/2006/relationships/hyperlink" Target="mailto:jur@ilo.org" TargetMode="External"/><Relationship Id="rId2" Type="http://schemas.openxmlformats.org/officeDocument/2006/relationships/numbering" Target="numbering.xml"/><Relationship Id="rId16" Type="http://schemas.openxmlformats.org/officeDocument/2006/relationships/hyperlink" Target="https://www.ilo.org/ilc/ILCSessions/111/reports/reports-to-the-conference/lang--es/index.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ilo.org"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www.ilo.org/wcmsp5/groups/public/---ed_norm/---relconf/documents/meetingdocument/wcms_417382.pdf" TargetMode="External"/><Relationship Id="rId13" Type="http://schemas.openxmlformats.org/officeDocument/2006/relationships/hyperlink" Target="https://www.ilo.org/wcmsp5/groups/public/---ed_norm/---normes/documents/genericdocument/wcms_636141.pdf" TargetMode="External"/><Relationship Id="rId3" Type="http://schemas.openxmlformats.org/officeDocument/2006/relationships/hyperlink" Target="https://www.ilo.org/wcmsp5/groups/public/---ed_norm/---relconf/documents/meetingdocument/wcms_839617.pdf" TargetMode="External"/><Relationship Id="rId7" Type="http://schemas.openxmlformats.org/officeDocument/2006/relationships/hyperlink" Target="https://www.ilo.org/wcmsp5/groups/public/---ed_norm/---relconf/documents/meetingdocument/wcms_646490.pdf" TargetMode="External"/><Relationship Id="rId12" Type="http://schemas.openxmlformats.org/officeDocument/2006/relationships/hyperlink" Target="https://www.ilo.org/wcmsp5/groups/public/---ed_norm/---normes/documents/genericdocument/wcms_636140.pdf" TargetMode="External"/><Relationship Id="rId2" Type="http://schemas.openxmlformats.org/officeDocument/2006/relationships/hyperlink" Target="https://www.ilo.org/wcmsp5/groups/public/---ed_norm/---relconf/documents/meetingdocument/wcms_822532.pdf" TargetMode="External"/><Relationship Id="rId1" Type="http://schemas.openxmlformats.org/officeDocument/2006/relationships/hyperlink" Target="https://www.ilo.org/wcmsp5/groups/public/---ed_norm/---relconf/documents/meetingdocument/wcms_822532.pdf" TargetMode="External"/><Relationship Id="rId6" Type="http://schemas.openxmlformats.org/officeDocument/2006/relationships/hyperlink" Target="https://www.ilo.org/wcmsp5/groups/public/---ed_norm/---relconf/documents/meetingdocument/wcms_648422.pdf" TargetMode="External"/><Relationship Id="rId11" Type="http://schemas.openxmlformats.org/officeDocument/2006/relationships/hyperlink" Target="https://www.ilo.org/wcmsp5/groups/public/---ed_norm/---relconf/documents/meetingdocument/wcms_848653.pdf" TargetMode="External"/><Relationship Id="rId5" Type="http://schemas.openxmlformats.org/officeDocument/2006/relationships/hyperlink" Target="https://www.ilo.org/wcmsp5/groups/public/---ed_norm/---relconf/documents/meetingdocument/wcms_648425.pdf" TargetMode="External"/><Relationship Id="rId15" Type="http://schemas.openxmlformats.org/officeDocument/2006/relationships/hyperlink" Target="https://www.ilo.org/wcmsp5/groups/public/---ed_norm/---normes/documents/genericdocument/wcms_636143.pdf" TargetMode="External"/><Relationship Id="rId10" Type="http://schemas.openxmlformats.org/officeDocument/2006/relationships/hyperlink" Target="https://www.ilo.org/wcmsp5/groups/public/---ed_norm/---relconf/documents/meetingdocument/wcms_725137.pdf" TargetMode="External"/><Relationship Id="rId4" Type="http://schemas.openxmlformats.org/officeDocument/2006/relationships/hyperlink" Target="https://www.ilo.org/global/standards/WCMS_449689/lang--es/index.htm" TargetMode="External"/><Relationship Id="rId9" Type="http://schemas.openxmlformats.org/officeDocument/2006/relationships/hyperlink" Target="https://www.ilo.org/wcmsp5/groups/public/---ed_norm/---relconf/documents/meetingdocument/wcms_725137.pdf" TargetMode="External"/><Relationship Id="rId14" Type="http://schemas.openxmlformats.org/officeDocument/2006/relationships/hyperlink" Target="https://www.ilo.org/wcmsp5/groups/public/---ed_norm/---normes/documents/genericdocument/wcms_63614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2294</Words>
  <Characters>13076</Characters>
  <Application>Microsoft Office Word</Application>
  <DocSecurity>0</DocSecurity>
  <Lines>108</Lines>
  <Paragraphs>30</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Derogación de cuatro convenios internacionales del trabajo</vt:lpstr>
      <vt:lpstr/>
      <vt:lpstr/>
    </vt:vector>
  </TitlesOfParts>
  <Company>ILO</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Derogación de cuatro convenios internacionales del trabajo</dc:title>
  <dc:subject>JUR-220926-001</dc:subject>
  <dc:creator>JUR / Canonica, María-José</dc:creator>
  <cp:keywords>CIT112/VII(1)</cp:keywords>
  <dc:description>LEÍDO.</dc:description>
  <cp:lastModifiedBy>Pinoargote, Paola</cp:lastModifiedBy>
  <cp:revision>3</cp:revision>
  <cp:lastPrinted>2022-11-14T13:22:00Z</cp:lastPrinted>
  <dcterms:created xsi:type="dcterms:W3CDTF">2022-11-21T10:55:00Z</dcterms:created>
  <dcterms:modified xsi:type="dcterms:W3CDTF">2022-11-21T10:58:00Z</dcterms:modified>
</cp:coreProperties>
</file>